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84" w:rsidRDefault="00A07C84" w:rsidP="00A07C84">
      <w:pPr>
        <w:autoSpaceDE w:val="0"/>
        <w:autoSpaceDN w:val="0"/>
        <w:adjustRightInd w:val="0"/>
        <w:spacing w:after="0" w:line="240" w:lineRule="auto"/>
        <w:jc w:val="center"/>
        <w:rPr>
          <w:rFonts w:ascii="Weber" w:hAnsi="Weber" w:cs="Calibri"/>
          <w:color w:val="000000"/>
          <w:sz w:val="20"/>
          <w:szCs w:val="20"/>
        </w:rPr>
      </w:pPr>
      <w:r w:rsidRPr="006D0099">
        <w:rPr>
          <w:rFonts w:ascii="Weber" w:hAnsi="Weber" w:cs="Calibri"/>
          <w:color w:val="000000"/>
          <w:sz w:val="20"/>
          <w:szCs w:val="20"/>
        </w:rPr>
        <w:t>9.4.2020</w:t>
      </w:r>
    </w:p>
    <w:p w:rsidR="006D0099" w:rsidRDefault="006D0099" w:rsidP="00A07C84">
      <w:pPr>
        <w:autoSpaceDE w:val="0"/>
        <w:autoSpaceDN w:val="0"/>
        <w:adjustRightInd w:val="0"/>
        <w:spacing w:after="0" w:line="240" w:lineRule="auto"/>
        <w:jc w:val="center"/>
        <w:rPr>
          <w:rFonts w:ascii="Weber" w:hAnsi="Weber" w:cs="Calibri"/>
          <w:color w:val="000000"/>
          <w:sz w:val="20"/>
          <w:szCs w:val="20"/>
        </w:rPr>
      </w:pPr>
    </w:p>
    <w:p w:rsidR="00B20E18" w:rsidRPr="006D0099" w:rsidRDefault="00B20E18" w:rsidP="00B20E18">
      <w:pPr>
        <w:pStyle w:val="Default"/>
        <w:jc w:val="center"/>
        <w:rPr>
          <w:rFonts w:ascii="Weber" w:hAnsi="Weber"/>
          <w:sz w:val="20"/>
          <w:szCs w:val="20"/>
        </w:rPr>
      </w:pPr>
      <w:r w:rsidRPr="006D0099">
        <w:rPr>
          <w:rFonts w:ascii="Weber" w:hAnsi="Weber"/>
          <w:b/>
          <w:bCs/>
          <w:sz w:val="20"/>
          <w:szCs w:val="20"/>
        </w:rPr>
        <w:t>EKSPLOATACINI</w:t>
      </w:r>
      <w:r w:rsidRPr="006D0099">
        <w:rPr>
          <w:rFonts w:ascii="Weber" w:hAnsi="Weber"/>
          <w:b/>
          <w:bCs/>
          <w:sz w:val="20"/>
          <w:szCs w:val="20"/>
          <w:lang w:val="lt-LT"/>
        </w:rPr>
        <w:t>Ų SAVYBIŲ</w:t>
      </w:r>
      <w:r w:rsidRPr="006D0099">
        <w:rPr>
          <w:rFonts w:ascii="Weber" w:hAnsi="Weber"/>
          <w:b/>
          <w:bCs/>
          <w:sz w:val="20"/>
          <w:szCs w:val="20"/>
        </w:rPr>
        <w:t xml:space="preserve"> DEKLARACIJA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center"/>
        <w:rPr>
          <w:rFonts w:ascii="Weber" w:hAnsi="Weber" w:cs="Calibri"/>
          <w:color w:val="000000"/>
          <w:sz w:val="20"/>
          <w:szCs w:val="20"/>
        </w:rPr>
      </w:pPr>
      <w:r w:rsidRPr="006D0099">
        <w:rPr>
          <w:rFonts w:ascii="Weber" w:hAnsi="Weber" w:cs="Calibri"/>
          <w:color w:val="000000"/>
          <w:sz w:val="20"/>
          <w:szCs w:val="20"/>
        </w:rPr>
        <w:t>DECLARATION OF PERFORMANCE</w:t>
      </w:r>
    </w:p>
    <w:p w:rsidR="00B20E18" w:rsidRPr="006D0099" w:rsidRDefault="00B20E18" w:rsidP="00B20E18">
      <w:pPr>
        <w:pStyle w:val="Default"/>
        <w:jc w:val="center"/>
        <w:rPr>
          <w:rFonts w:ascii="Weber" w:hAnsi="Weber"/>
          <w:sz w:val="20"/>
          <w:szCs w:val="20"/>
        </w:rPr>
      </w:pPr>
      <w:proofErr w:type="spellStart"/>
      <w:r w:rsidRPr="006D0099">
        <w:rPr>
          <w:rFonts w:ascii="Weber" w:hAnsi="Weber"/>
          <w:b/>
          <w:bCs/>
          <w:sz w:val="20"/>
          <w:szCs w:val="20"/>
        </w:rPr>
        <w:t>Pagal</w:t>
      </w:r>
      <w:proofErr w:type="spellEnd"/>
      <w:r w:rsidRPr="006D0099">
        <w:rPr>
          <w:rFonts w:ascii="Weber" w:hAnsi="Weber"/>
          <w:b/>
          <w:bCs/>
          <w:sz w:val="20"/>
          <w:szCs w:val="20"/>
        </w:rPr>
        <w:t xml:space="preserve"> ES </w:t>
      </w:r>
      <w:proofErr w:type="spellStart"/>
      <w:r w:rsidRPr="006D0099">
        <w:rPr>
          <w:rFonts w:ascii="Weber" w:hAnsi="Weber"/>
          <w:b/>
          <w:bCs/>
          <w:sz w:val="20"/>
          <w:szCs w:val="20"/>
        </w:rPr>
        <w:t>statybinių</w:t>
      </w:r>
      <w:proofErr w:type="spellEnd"/>
      <w:r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Pr="006D0099">
        <w:rPr>
          <w:rFonts w:ascii="Weber" w:hAnsi="Weber"/>
          <w:b/>
          <w:bCs/>
          <w:sz w:val="20"/>
          <w:szCs w:val="20"/>
        </w:rPr>
        <w:t>produktų</w:t>
      </w:r>
      <w:proofErr w:type="spellEnd"/>
      <w:r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Pr="006D0099">
        <w:rPr>
          <w:rFonts w:ascii="Weber" w:hAnsi="Weber"/>
          <w:b/>
          <w:bCs/>
          <w:sz w:val="20"/>
          <w:szCs w:val="20"/>
        </w:rPr>
        <w:t>reikalavim</w:t>
      </w:r>
      <w:proofErr w:type="spellEnd"/>
      <w:r w:rsidRPr="006D0099">
        <w:rPr>
          <w:rFonts w:ascii="Weber" w:hAnsi="Weber"/>
          <w:b/>
          <w:bCs/>
          <w:sz w:val="20"/>
          <w:szCs w:val="20"/>
          <w:lang w:val="lt-LT"/>
        </w:rPr>
        <w:t>ų III priedą</w:t>
      </w:r>
      <w:r w:rsidRPr="006D0099">
        <w:rPr>
          <w:rFonts w:ascii="Weber" w:hAnsi="Weber"/>
          <w:b/>
          <w:bCs/>
          <w:sz w:val="20"/>
          <w:szCs w:val="20"/>
        </w:rPr>
        <w:t xml:space="preserve"> (CPR), </w:t>
      </w:r>
      <w:proofErr w:type="spellStart"/>
      <w:r w:rsidRPr="006D0099">
        <w:rPr>
          <w:rFonts w:ascii="Weber" w:hAnsi="Weber"/>
          <w:b/>
          <w:bCs/>
          <w:sz w:val="20"/>
          <w:szCs w:val="20"/>
        </w:rPr>
        <w:t>Nr</w:t>
      </w:r>
      <w:proofErr w:type="spellEnd"/>
      <w:r w:rsidRPr="006D0099">
        <w:rPr>
          <w:rFonts w:ascii="Weber" w:hAnsi="Weber"/>
          <w:b/>
          <w:bCs/>
          <w:sz w:val="20"/>
          <w:szCs w:val="20"/>
        </w:rPr>
        <w:t>. 305/2011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center"/>
        <w:rPr>
          <w:rFonts w:ascii="Weber" w:hAnsi="Weber" w:cs="Calibri"/>
          <w:color w:val="000000"/>
          <w:sz w:val="20"/>
          <w:szCs w:val="20"/>
        </w:rPr>
      </w:pPr>
      <w:r w:rsidRPr="006D0099">
        <w:rPr>
          <w:rFonts w:ascii="Weber" w:hAnsi="Weber" w:cs="Calibri"/>
          <w:color w:val="000000"/>
          <w:sz w:val="20"/>
          <w:szCs w:val="20"/>
        </w:rPr>
        <w:t>in accordance with EU Construction Products Regulation (CPR) no 305/2011</w:t>
      </w:r>
    </w:p>
    <w:p w:rsidR="00A15C4B" w:rsidRDefault="00A07C84" w:rsidP="00A07C84">
      <w:pPr>
        <w:jc w:val="center"/>
        <w:rPr>
          <w:rFonts w:ascii="Weber" w:hAnsi="Weber" w:cs="Calibri"/>
          <w:color w:val="000000"/>
          <w:sz w:val="20"/>
          <w:szCs w:val="20"/>
        </w:rPr>
      </w:pPr>
      <w:r w:rsidRPr="006D0099">
        <w:rPr>
          <w:rFonts w:ascii="Weber" w:hAnsi="Weber" w:cs="Calibri"/>
          <w:color w:val="000000"/>
          <w:sz w:val="20"/>
          <w:szCs w:val="20"/>
        </w:rPr>
        <w:t>No. DoP-FI-210002-090420</w:t>
      </w:r>
    </w:p>
    <w:p w:rsidR="006D0099" w:rsidRDefault="006D0099" w:rsidP="00A07C84">
      <w:pPr>
        <w:jc w:val="center"/>
        <w:rPr>
          <w:rFonts w:ascii="Weber" w:hAnsi="Weber" w:cs="Calibri"/>
          <w:color w:val="000000"/>
          <w:sz w:val="20"/>
          <w:szCs w:val="20"/>
        </w:rPr>
      </w:pPr>
    </w:p>
    <w:p w:rsidR="006D0099" w:rsidRDefault="006D0099" w:rsidP="00A07C84">
      <w:pPr>
        <w:jc w:val="center"/>
        <w:rPr>
          <w:rFonts w:ascii="Weber" w:hAnsi="Weber" w:cs="Calibri"/>
          <w:color w:val="000000"/>
          <w:sz w:val="20"/>
          <w:szCs w:val="20"/>
        </w:rPr>
      </w:pPr>
    </w:p>
    <w:p w:rsidR="006D0099" w:rsidRPr="006D0099" w:rsidRDefault="006D0099" w:rsidP="006D0099">
      <w:pPr>
        <w:rPr>
          <w:rFonts w:ascii="Weber" w:hAnsi="Weber"/>
          <w:sz w:val="20"/>
          <w:szCs w:val="20"/>
        </w:rPr>
      </w:pP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 xml:space="preserve">1 </w:t>
      </w:r>
      <w:proofErr w:type="spellStart"/>
      <w:r w:rsidR="009169AA" w:rsidRPr="006D0099">
        <w:rPr>
          <w:rFonts w:ascii="Weber" w:hAnsi="Weber"/>
          <w:b/>
          <w:bCs/>
          <w:sz w:val="20"/>
          <w:szCs w:val="20"/>
        </w:rPr>
        <w:t>Unikalus</w:t>
      </w:r>
      <w:proofErr w:type="spellEnd"/>
      <w:r w:rsidR="009169AA"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="009169AA" w:rsidRPr="006D0099">
        <w:rPr>
          <w:rFonts w:ascii="Weber" w:hAnsi="Weber"/>
          <w:b/>
          <w:bCs/>
          <w:sz w:val="20"/>
          <w:szCs w:val="20"/>
        </w:rPr>
        <w:t>identifikacijos</w:t>
      </w:r>
      <w:proofErr w:type="spellEnd"/>
      <w:r w:rsidR="009169AA"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="009169AA" w:rsidRPr="006D0099">
        <w:rPr>
          <w:rFonts w:ascii="Weber" w:hAnsi="Weber"/>
          <w:b/>
          <w:bCs/>
          <w:sz w:val="20"/>
          <w:szCs w:val="20"/>
        </w:rPr>
        <w:t>kodas</w:t>
      </w:r>
      <w:proofErr w:type="spellEnd"/>
      <w:r w:rsidR="009169AA" w:rsidRPr="006D0099">
        <w:rPr>
          <w:rFonts w:ascii="Weber" w:hAnsi="Weber"/>
          <w:b/>
          <w:bCs/>
          <w:sz w:val="20"/>
          <w:szCs w:val="20"/>
        </w:rPr>
        <w:t xml:space="preserve"> (</w:t>
      </w:r>
      <w:proofErr w:type="spellStart"/>
      <w:r w:rsidR="009169AA" w:rsidRPr="006D0099">
        <w:rPr>
          <w:rFonts w:ascii="Weber" w:hAnsi="Weber"/>
          <w:b/>
          <w:bCs/>
          <w:sz w:val="20"/>
          <w:szCs w:val="20"/>
        </w:rPr>
        <w:t>produkto</w:t>
      </w:r>
      <w:proofErr w:type="spellEnd"/>
      <w:r w:rsidR="009169AA"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="009169AA" w:rsidRPr="006D0099">
        <w:rPr>
          <w:rFonts w:ascii="Weber" w:hAnsi="Weber"/>
          <w:b/>
          <w:bCs/>
          <w:sz w:val="20"/>
          <w:szCs w:val="20"/>
        </w:rPr>
        <w:t>tipas</w:t>
      </w:r>
      <w:proofErr w:type="spellEnd"/>
      <w:r w:rsidR="009169AA" w:rsidRPr="006D0099">
        <w:rPr>
          <w:rFonts w:ascii="Weber" w:hAnsi="Weber"/>
          <w:b/>
          <w:bCs/>
          <w:sz w:val="20"/>
          <w:szCs w:val="20"/>
        </w:rPr>
        <w:t xml:space="preserve">): 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Unique identification code of the product-type:</w:t>
      </w:r>
      <w:r w:rsidRPr="006D0099">
        <w:rPr>
          <w:rFonts w:ascii="Weber" w:hAnsi="Weber" w:cs="ArialNarrow"/>
          <w:sz w:val="20"/>
          <w:szCs w:val="20"/>
        </w:rPr>
        <w:t xml:space="preserve"> </w:t>
      </w:r>
    </w:p>
    <w:p w:rsidR="00A16FDA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 xml:space="preserve">210002, </w:t>
      </w:r>
      <w:proofErr w:type="spellStart"/>
      <w:r w:rsidRPr="006D0099">
        <w:rPr>
          <w:rFonts w:ascii="Weber" w:hAnsi="Weber" w:cs="Calibri"/>
          <w:sz w:val="20"/>
          <w:szCs w:val="20"/>
        </w:rPr>
        <w:t>webervetonit</w:t>
      </w:r>
      <w:proofErr w:type="spellEnd"/>
      <w:r w:rsidRPr="006D0099">
        <w:rPr>
          <w:rFonts w:ascii="Weber" w:hAnsi="Weber" w:cs="Calibri"/>
          <w:sz w:val="20"/>
          <w:szCs w:val="20"/>
        </w:rPr>
        <w:t xml:space="preserve"> 4400 </w:t>
      </w:r>
      <w:proofErr w:type="spellStart"/>
      <w:r w:rsidRPr="006D0099">
        <w:rPr>
          <w:rFonts w:ascii="Weber" w:hAnsi="Weber" w:cs="Calibri"/>
          <w:sz w:val="20"/>
          <w:szCs w:val="20"/>
        </w:rPr>
        <w:t>Pikatasoite</w:t>
      </w:r>
      <w:proofErr w:type="spellEnd"/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</w:p>
    <w:p w:rsidR="00B4551C" w:rsidRPr="006D0099" w:rsidRDefault="00A07C84" w:rsidP="00B4551C">
      <w:pPr>
        <w:pStyle w:val="Default"/>
        <w:rPr>
          <w:rFonts w:ascii="Weber" w:hAnsi="Weber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 xml:space="preserve">2 </w:t>
      </w:r>
      <w:proofErr w:type="spellStart"/>
      <w:r w:rsidR="00B4551C" w:rsidRPr="006D0099">
        <w:rPr>
          <w:rFonts w:ascii="Weber" w:hAnsi="Weber"/>
          <w:b/>
          <w:bCs/>
          <w:sz w:val="20"/>
          <w:szCs w:val="20"/>
        </w:rPr>
        <w:t>P</w:t>
      </w:r>
      <w:r w:rsidR="00B4551C" w:rsidRPr="006D0099">
        <w:rPr>
          <w:rFonts w:ascii="Weber" w:hAnsi="Weber"/>
          <w:b/>
          <w:bCs/>
          <w:sz w:val="20"/>
          <w:szCs w:val="20"/>
        </w:rPr>
        <w:t>rodukto</w:t>
      </w:r>
      <w:proofErr w:type="spellEnd"/>
      <w:r w:rsidR="00B4551C"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="00B4551C" w:rsidRPr="006D0099">
        <w:rPr>
          <w:rFonts w:ascii="Weber" w:hAnsi="Weber"/>
          <w:b/>
          <w:bCs/>
          <w:sz w:val="20"/>
          <w:szCs w:val="20"/>
        </w:rPr>
        <w:t>naudojimo</w:t>
      </w:r>
      <w:proofErr w:type="spellEnd"/>
      <w:r w:rsidR="00B4551C"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="00B4551C" w:rsidRPr="006D0099">
        <w:rPr>
          <w:rFonts w:ascii="Weber" w:hAnsi="Weber"/>
          <w:b/>
          <w:bCs/>
          <w:sz w:val="20"/>
          <w:szCs w:val="20"/>
        </w:rPr>
        <w:t>paskirtis</w:t>
      </w:r>
      <w:proofErr w:type="spellEnd"/>
      <w:r w:rsidR="00B4551C" w:rsidRPr="006D0099">
        <w:rPr>
          <w:rFonts w:ascii="Weber" w:hAnsi="Weber"/>
          <w:b/>
          <w:bCs/>
          <w:sz w:val="20"/>
          <w:szCs w:val="20"/>
        </w:rPr>
        <w:t xml:space="preserve">, </w:t>
      </w:r>
      <w:proofErr w:type="spellStart"/>
      <w:r w:rsidR="00B4551C" w:rsidRPr="006D0099">
        <w:rPr>
          <w:rFonts w:ascii="Weber" w:hAnsi="Weber"/>
          <w:b/>
          <w:bCs/>
          <w:sz w:val="20"/>
          <w:szCs w:val="20"/>
        </w:rPr>
        <w:t>nurodytas</w:t>
      </w:r>
      <w:proofErr w:type="spellEnd"/>
      <w:r w:rsidR="00B4551C"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="00B4551C" w:rsidRPr="006D0099">
        <w:rPr>
          <w:rFonts w:ascii="Weber" w:hAnsi="Weber"/>
          <w:b/>
          <w:bCs/>
          <w:sz w:val="20"/>
          <w:szCs w:val="20"/>
        </w:rPr>
        <w:t>gamintojo</w:t>
      </w:r>
      <w:proofErr w:type="spellEnd"/>
      <w:r w:rsidR="00B4551C" w:rsidRPr="006D0099">
        <w:rPr>
          <w:rFonts w:ascii="Weber" w:hAnsi="Weber"/>
          <w:b/>
          <w:bCs/>
          <w:sz w:val="20"/>
          <w:szCs w:val="20"/>
        </w:rPr>
        <w:t xml:space="preserve">: 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Intended use or uses:</w:t>
      </w:r>
    </w:p>
    <w:p w:rsidR="00103F49" w:rsidRPr="006D0099" w:rsidRDefault="00103F49" w:rsidP="00103F49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Cementitious floor screed material for use internally and externally in buildings</w:t>
      </w:r>
    </w:p>
    <w:p w:rsidR="00103F49" w:rsidRPr="006D0099" w:rsidRDefault="00103F49" w:rsidP="00103F49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(covered spaces not subjected to continuous freezing and thawing).</w:t>
      </w:r>
      <w:r w:rsidRPr="006D0099">
        <w:rPr>
          <w:rFonts w:ascii="Weber" w:hAnsi="Weber" w:cs="Calibri"/>
          <w:sz w:val="20"/>
          <w:szCs w:val="20"/>
        </w:rPr>
        <w:t xml:space="preserve"> </w:t>
      </w:r>
    </w:p>
    <w:p w:rsidR="00103F49" w:rsidRPr="006D0099" w:rsidRDefault="00103F49" w:rsidP="00103F49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/>
          <w:b/>
          <w:sz w:val="20"/>
          <w:szCs w:val="20"/>
          <w:lang w:val="lt-LT"/>
        </w:rPr>
      </w:pPr>
      <w:r w:rsidRPr="006D0099">
        <w:rPr>
          <w:rFonts w:ascii="Weber" w:hAnsi="Weber"/>
          <w:b/>
          <w:sz w:val="20"/>
          <w:szCs w:val="20"/>
          <w:lang w:val="lt-LT"/>
        </w:rPr>
        <w:t xml:space="preserve">Cementinis grindų </w:t>
      </w:r>
      <w:r w:rsidRPr="006D0099">
        <w:rPr>
          <w:rFonts w:ascii="Weber" w:hAnsi="Weber"/>
          <w:b/>
          <w:sz w:val="20"/>
          <w:szCs w:val="20"/>
          <w:lang w:val="lt-LT"/>
        </w:rPr>
        <w:t>lyginamasis mišinys skirtas naudoti pastatų viduje</w:t>
      </w:r>
      <w:r w:rsidRPr="006D0099">
        <w:rPr>
          <w:rFonts w:ascii="Weber" w:hAnsi="Weber"/>
          <w:b/>
          <w:sz w:val="20"/>
          <w:szCs w:val="20"/>
          <w:lang w:val="lt-LT"/>
        </w:rPr>
        <w:t xml:space="preserve"> ir išorėje.</w:t>
      </w:r>
    </w:p>
    <w:p w:rsidR="00103F49" w:rsidRPr="006D0099" w:rsidRDefault="00103F49" w:rsidP="00103F49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b/>
          <w:sz w:val="20"/>
          <w:szCs w:val="20"/>
        </w:rPr>
      </w:pPr>
      <w:r w:rsidRPr="006D0099">
        <w:rPr>
          <w:rFonts w:ascii="Weber" w:hAnsi="Weber" w:cs="Calibri"/>
          <w:b/>
          <w:sz w:val="20"/>
          <w:szCs w:val="20"/>
        </w:rPr>
        <w:t>(</w:t>
      </w:r>
      <w:proofErr w:type="spellStart"/>
      <w:r w:rsidRPr="006D0099">
        <w:rPr>
          <w:rFonts w:ascii="Weber" w:hAnsi="Weber" w:cs="Calibri"/>
          <w:b/>
          <w:sz w:val="20"/>
          <w:szCs w:val="20"/>
        </w:rPr>
        <w:t>uždengtos</w:t>
      </w:r>
      <w:proofErr w:type="spellEnd"/>
      <w:r w:rsidRPr="006D0099">
        <w:rPr>
          <w:rFonts w:ascii="Weber" w:hAnsi="Weber" w:cs="Calibri"/>
          <w:b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sz w:val="20"/>
          <w:szCs w:val="20"/>
        </w:rPr>
        <w:t>vietos</w:t>
      </w:r>
      <w:proofErr w:type="spellEnd"/>
      <w:r w:rsidRPr="006D0099">
        <w:rPr>
          <w:rFonts w:ascii="Weber" w:hAnsi="Weber" w:cs="Calibri"/>
          <w:b/>
          <w:sz w:val="20"/>
          <w:szCs w:val="20"/>
        </w:rPr>
        <w:t xml:space="preserve">, </w:t>
      </w:r>
      <w:proofErr w:type="spellStart"/>
      <w:r w:rsidRPr="006D0099">
        <w:rPr>
          <w:rFonts w:ascii="Weber" w:hAnsi="Weber" w:cs="Calibri"/>
          <w:b/>
          <w:sz w:val="20"/>
          <w:szCs w:val="20"/>
        </w:rPr>
        <w:t>kurios</w:t>
      </w:r>
      <w:proofErr w:type="spellEnd"/>
      <w:r w:rsidRPr="006D0099">
        <w:rPr>
          <w:rFonts w:ascii="Weber" w:hAnsi="Weber" w:cs="Calibri"/>
          <w:b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sz w:val="20"/>
          <w:szCs w:val="20"/>
        </w:rPr>
        <w:t>nėra</w:t>
      </w:r>
      <w:proofErr w:type="spellEnd"/>
      <w:r w:rsidRPr="006D0099">
        <w:rPr>
          <w:rFonts w:ascii="Weber" w:hAnsi="Weber" w:cs="Calibri"/>
          <w:b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sz w:val="20"/>
          <w:szCs w:val="20"/>
        </w:rPr>
        <w:t>nuolat</w:t>
      </w:r>
      <w:proofErr w:type="spellEnd"/>
      <w:r w:rsidRPr="006D0099">
        <w:rPr>
          <w:rFonts w:ascii="Weber" w:hAnsi="Weber" w:cs="Calibri"/>
          <w:b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sz w:val="20"/>
          <w:szCs w:val="20"/>
        </w:rPr>
        <w:t>užšaldomos</w:t>
      </w:r>
      <w:proofErr w:type="spellEnd"/>
      <w:r w:rsidRPr="006D0099">
        <w:rPr>
          <w:rFonts w:ascii="Weber" w:hAnsi="Weber" w:cs="Calibri"/>
          <w:b/>
          <w:sz w:val="20"/>
          <w:szCs w:val="20"/>
        </w:rPr>
        <w:t xml:space="preserve"> ir </w:t>
      </w:r>
      <w:proofErr w:type="spellStart"/>
      <w:r w:rsidRPr="006D0099">
        <w:rPr>
          <w:rFonts w:ascii="Weber" w:hAnsi="Weber" w:cs="Calibri"/>
          <w:b/>
          <w:sz w:val="20"/>
          <w:szCs w:val="20"/>
        </w:rPr>
        <w:t>atšildomos</w:t>
      </w:r>
      <w:proofErr w:type="spellEnd"/>
      <w:r w:rsidRPr="006D0099">
        <w:rPr>
          <w:rFonts w:ascii="Weber" w:hAnsi="Weber" w:cs="Calibri"/>
          <w:b/>
          <w:sz w:val="20"/>
          <w:szCs w:val="20"/>
        </w:rPr>
        <w:t>).</w:t>
      </w:r>
    </w:p>
    <w:p w:rsidR="002A1B38" w:rsidRPr="006D0099" w:rsidRDefault="002A1B38" w:rsidP="00103F49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b/>
          <w:sz w:val="20"/>
          <w:szCs w:val="20"/>
        </w:rPr>
      </w:pPr>
    </w:p>
    <w:p w:rsidR="002A1B38" w:rsidRDefault="002A1B38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/>
          <w:b/>
          <w:bCs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 xml:space="preserve">3 </w:t>
      </w:r>
      <w:r w:rsidR="00A07C84" w:rsidRPr="006D0099">
        <w:rPr>
          <w:rFonts w:ascii="Weber" w:hAnsi="Weber" w:cs="ArialNarrow"/>
          <w:sz w:val="20"/>
          <w:szCs w:val="20"/>
        </w:rPr>
        <w:t>Manufacturer:</w:t>
      </w:r>
      <w:r w:rsidRPr="006D0099">
        <w:rPr>
          <w:rFonts w:ascii="Weber" w:hAnsi="Weber" w:cs="ArialNarrow"/>
          <w:sz w:val="20"/>
          <w:szCs w:val="20"/>
        </w:rPr>
        <w:t>/</w:t>
      </w:r>
      <w:proofErr w:type="spellStart"/>
      <w:r w:rsidRPr="006D0099">
        <w:rPr>
          <w:rFonts w:ascii="Weber" w:hAnsi="Weber"/>
          <w:b/>
          <w:bCs/>
          <w:sz w:val="20"/>
          <w:szCs w:val="20"/>
        </w:rPr>
        <w:t>G</w:t>
      </w:r>
      <w:r w:rsidRPr="006D0099">
        <w:rPr>
          <w:rFonts w:ascii="Weber" w:hAnsi="Weber"/>
          <w:b/>
          <w:bCs/>
          <w:sz w:val="20"/>
          <w:szCs w:val="20"/>
        </w:rPr>
        <w:t>amintojo</w:t>
      </w:r>
      <w:proofErr w:type="spellEnd"/>
      <w:r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Pr="006D0099">
        <w:rPr>
          <w:rFonts w:ascii="Weber" w:hAnsi="Weber"/>
          <w:b/>
          <w:bCs/>
          <w:sz w:val="20"/>
          <w:szCs w:val="20"/>
        </w:rPr>
        <w:t>kontaktinė</w:t>
      </w:r>
      <w:proofErr w:type="spellEnd"/>
      <w:r w:rsidRPr="006D0099">
        <w:rPr>
          <w:rFonts w:ascii="Weber" w:hAnsi="Weber"/>
          <w:b/>
          <w:bCs/>
          <w:sz w:val="20"/>
          <w:szCs w:val="20"/>
        </w:rPr>
        <w:t xml:space="preserve"> </w:t>
      </w:r>
      <w:proofErr w:type="spellStart"/>
      <w:r w:rsidRPr="006D0099">
        <w:rPr>
          <w:rFonts w:ascii="Weber" w:hAnsi="Weber"/>
          <w:b/>
          <w:bCs/>
          <w:sz w:val="20"/>
          <w:szCs w:val="20"/>
        </w:rPr>
        <w:t>informacija</w:t>
      </w:r>
      <w:proofErr w:type="spellEnd"/>
      <w:r w:rsidRPr="006D0099">
        <w:rPr>
          <w:rFonts w:ascii="Weber" w:hAnsi="Weber"/>
          <w:b/>
          <w:bCs/>
          <w:sz w:val="20"/>
          <w:szCs w:val="20"/>
        </w:rPr>
        <w:t>:</w:t>
      </w:r>
    </w:p>
    <w:p w:rsidR="006D0099" w:rsidRPr="006D0099" w:rsidRDefault="006D0099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Saint-Gobain Finland Oy, Weber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PL 70 (</w:t>
      </w:r>
      <w:proofErr w:type="spellStart"/>
      <w:r w:rsidRPr="006D0099">
        <w:rPr>
          <w:rFonts w:ascii="Weber" w:hAnsi="Weber" w:cs="Calibri"/>
          <w:sz w:val="20"/>
          <w:szCs w:val="20"/>
        </w:rPr>
        <w:t>Strömberginkuja</w:t>
      </w:r>
      <w:proofErr w:type="spellEnd"/>
      <w:r w:rsidRPr="006D0099">
        <w:rPr>
          <w:rFonts w:ascii="Weber" w:hAnsi="Weber" w:cs="Calibri"/>
          <w:sz w:val="20"/>
          <w:szCs w:val="20"/>
        </w:rPr>
        <w:t xml:space="preserve"> 2)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00381 Helsinki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proofErr w:type="spellStart"/>
      <w:r w:rsidRPr="006D0099">
        <w:rPr>
          <w:rFonts w:ascii="Weber" w:hAnsi="Weber" w:cs="Calibri"/>
          <w:sz w:val="20"/>
          <w:szCs w:val="20"/>
        </w:rPr>
        <w:t>Puhelin</w:t>
      </w:r>
      <w:proofErr w:type="spellEnd"/>
      <w:r w:rsidRPr="006D0099">
        <w:rPr>
          <w:rFonts w:ascii="Weber" w:hAnsi="Weber" w:cs="Calibri"/>
          <w:sz w:val="20"/>
          <w:szCs w:val="20"/>
        </w:rPr>
        <w:t>: 010 44 22 00, tel. +358 10 44 22 00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proofErr w:type="spellStart"/>
      <w:r w:rsidRPr="006D0099">
        <w:rPr>
          <w:rFonts w:ascii="Weber" w:hAnsi="Weber" w:cs="Calibri"/>
          <w:sz w:val="20"/>
          <w:szCs w:val="20"/>
        </w:rPr>
        <w:t>Telekopio</w:t>
      </w:r>
      <w:proofErr w:type="spellEnd"/>
      <w:r w:rsidRPr="006D0099">
        <w:rPr>
          <w:rFonts w:ascii="Weber" w:hAnsi="Weber" w:cs="Calibri"/>
          <w:sz w:val="20"/>
          <w:szCs w:val="20"/>
        </w:rPr>
        <w:t>: 010 44 22 295, Fax: +358 10 44 22 295</w:t>
      </w:r>
    </w:p>
    <w:p w:rsidR="00A07C84" w:rsidRPr="006D0099" w:rsidRDefault="002A1B38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hyperlink r:id="rId6" w:history="1">
        <w:r w:rsidRPr="006D0099">
          <w:rPr>
            <w:rStyle w:val="Hyperlink"/>
            <w:rFonts w:ascii="Weber" w:hAnsi="Weber" w:cs="Calibri"/>
            <w:sz w:val="20"/>
            <w:szCs w:val="20"/>
          </w:rPr>
          <w:t>www.fi.weber</w:t>
        </w:r>
      </w:hyperlink>
    </w:p>
    <w:p w:rsidR="002A1B38" w:rsidRPr="006D0099" w:rsidRDefault="002A1B38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</w:p>
    <w:p w:rsidR="00A07C84" w:rsidRPr="006D0099" w:rsidRDefault="002A1B38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 xml:space="preserve">4 </w:t>
      </w:r>
      <w:proofErr w:type="spellStart"/>
      <w:r w:rsidR="00A07C84" w:rsidRPr="006D0099">
        <w:rPr>
          <w:rFonts w:ascii="Weber" w:hAnsi="Weber" w:cs="ArialNarrow"/>
          <w:sz w:val="20"/>
          <w:szCs w:val="20"/>
        </w:rPr>
        <w:t>Authorised</w:t>
      </w:r>
      <w:proofErr w:type="spellEnd"/>
      <w:r w:rsidR="00A07C84" w:rsidRPr="006D0099">
        <w:rPr>
          <w:rFonts w:ascii="Weber" w:hAnsi="Weber" w:cs="ArialNarrow"/>
          <w:sz w:val="20"/>
          <w:szCs w:val="20"/>
        </w:rPr>
        <w:t xml:space="preserve"> representative:</w:t>
      </w:r>
      <w:r w:rsidRPr="006D0099">
        <w:rPr>
          <w:rFonts w:ascii="Weber" w:hAnsi="Weber" w:cs="ArialNarrow"/>
          <w:sz w:val="20"/>
          <w:szCs w:val="20"/>
        </w:rPr>
        <w:t>/</w:t>
      </w:r>
      <w:r w:rsidRPr="006D0099">
        <w:rPr>
          <w:rFonts w:ascii="Weber" w:hAnsi="Weber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b/>
          <w:sz w:val="20"/>
          <w:szCs w:val="20"/>
        </w:rPr>
        <w:t>Įgaliotasis</w:t>
      </w:r>
      <w:proofErr w:type="spellEnd"/>
      <w:r w:rsidRPr="006D0099">
        <w:rPr>
          <w:rFonts w:ascii="Weber" w:hAnsi="Weber" w:cs="ArialNarrow"/>
          <w:b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b/>
          <w:sz w:val="20"/>
          <w:szCs w:val="20"/>
        </w:rPr>
        <w:t>atstovas</w:t>
      </w:r>
      <w:proofErr w:type="spellEnd"/>
      <w:r w:rsidRPr="006D0099">
        <w:rPr>
          <w:rFonts w:ascii="Weber" w:hAnsi="Weber" w:cs="ArialNarrow"/>
          <w:b/>
          <w:sz w:val="20"/>
          <w:szCs w:val="20"/>
        </w:rPr>
        <w:t>: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-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5 System/s of AVCP:</w:t>
      </w:r>
      <w:r w:rsidR="00293DCE" w:rsidRPr="006D0099">
        <w:rPr>
          <w:rFonts w:ascii="Weber" w:hAnsi="Weber" w:cs="ArialNarrow"/>
          <w:sz w:val="20"/>
          <w:szCs w:val="20"/>
        </w:rPr>
        <w:t>/</w:t>
      </w:r>
      <w:r w:rsidR="00293DCE" w:rsidRPr="006D0099">
        <w:rPr>
          <w:rFonts w:ascii="Weber" w:hAnsi="Weber"/>
          <w:b/>
          <w:bCs/>
          <w:sz w:val="20"/>
          <w:szCs w:val="20"/>
        </w:rPr>
        <w:t xml:space="preserve"> AVCP </w:t>
      </w:r>
      <w:proofErr w:type="spellStart"/>
      <w:r w:rsidR="00293DCE" w:rsidRPr="006D0099">
        <w:rPr>
          <w:rFonts w:ascii="Weber" w:hAnsi="Weber"/>
          <w:b/>
          <w:bCs/>
          <w:sz w:val="20"/>
          <w:szCs w:val="20"/>
        </w:rPr>
        <w:t>sistema</w:t>
      </w:r>
      <w:proofErr w:type="spellEnd"/>
    </w:p>
    <w:p w:rsidR="00A07C84" w:rsidRPr="006D0099" w:rsidRDefault="00A07C84" w:rsidP="00A07C84">
      <w:pPr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3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color w:val="000000"/>
          <w:sz w:val="20"/>
          <w:szCs w:val="20"/>
        </w:rPr>
      </w:pPr>
      <w:r w:rsidRPr="006D0099">
        <w:rPr>
          <w:rFonts w:ascii="Weber" w:hAnsi="Weber" w:cs="ArialNarrow"/>
          <w:color w:val="000000"/>
          <w:sz w:val="20"/>
          <w:szCs w:val="20"/>
        </w:rPr>
        <w:t xml:space="preserve">6 </w:t>
      </w:r>
      <w:r w:rsidRPr="006D0099">
        <w:rPr>
          <w:rFonts w:ascii="Weber" w:hAnsi="Weber" w:cs="Arial,Bold"/>
          <w:b/>
          <w:bCs/>
          <w:color w:val="000000"/>
          <w:sz w:val="20"/>
          <w:szCs w:val="20"/>
        </w:rPr>
        <w:t xml:space="preserve">a. </w:t>
      </w:r>
      <w:proofErr w:type="spellStart"/>
      <w:r w:rsidRPr="006D0099">
        <w:rPr>
          <w:rFonts w:ascii="Weber" w:hAnsi="Weber" w:cs="ArialNarrow"/>
          <w:color w:val="000000"/>
          <w:sz w:val="20"/>
          <w:szCs w:val="20"/>
        </w:rPr>
        <w:t>Harmonised</w:t>
      </w:r>
      <w:proofErr w:type="spellEnd"/>
      <w:r w:rsidRPr="006D0099">
        <w:rPr>
          <w:rFonts w:ascii="Weber" w:hAnsi="Weber" w:cs="ArialNarrow"/>
          <w:color w:val="000000"/>
          <w:sz w:val="20"/>
          <w:szCs w:val="20"/>
        </w:rPr>
        <w:t xml:space="preserve"> standard:</w:t>
      </w:r>
      <w:r w:rsidR="00E347AA" w:rsidRPr="006D0099">
        <w:rPr>
          <w:rFonts w:ascii="Weber" w:hAnsi="Weber" w:cs="ArialNarrow"/>
          <w:color w:val="000000"/>
          <w:sz w:val="20"/>
          <w:szCs w:val="20"/>
        </w:rPr>
        <w:t>/</w:t>
      </w:r>
      <w:r w:rsidR="00E347AA" w:rsidRPr="006D0099">
        <w:rPr>
          <w:rFonts w:ascii="Weber" w:hAnsi="Weber"/>
          <w:sz w:val="20"/>
          <w:szCs w:val="20"/>
        </w:rPr>
        <w:t xml:space="preserve"> </w:t>
      </w:r>
      <w:proofErr w:type="spellStart"/>
      <w:r w:rsidR="00E347AA" w:rsidRPr="006D0099">
        <w:rPr>
          <w:rFonts w:ascii="Weber" w:hAnsi="Weber" w:cs="ArialNarrow"/>
          <w:b/>
          <w:color w:val="000000"/>
          <w:sz w:val="20"/>
          <w:szCs w:val="20"/>
        </w:rPr>
        <w:t>Darnusis</w:t>
      </w:r>
      <w:proofErr w:type="spellEnd"/>
      <w:r w:rsidR="00E347AA" w:rsidRPr="006D0099">
        <w:rPr>
          <w:rFonts w:ascii="Weber" w:hAnsi="Weber" w:cs="ArialNarrow"/>
          <w:b/>
          <w:color w:val="000000"/>
          <w:sz w:val="20"/>
          <w:szCs w:val="20"/>
        </w:rPr>
        <w:t xml:space="preserve"> </w:t>
      </w:r>
      <w:proofErr w:type="spellStart"/>
      <w:r w:rsidR="00E347AA" w:rsidRPr="006D0099">
        <w:rPr>
          <w:rFonts w:ascii="Weber" w:hAnsi="Weber" w:cs="ArialNarrow"/>
          <w:b/>
          <w:color w:val="000000"/>
          <w:sz w:val="20"/>
          <w:szCs w:val="20"/>
        </w:rPr>
        <w:t>standartas</w:t>
      </w:r>
      <w:proofErr w:type="spellEnd"/>
      <w:r w:rsidR="00E347AA" w:rsidRPr="006D0099">
        <w:rPr>
          <w:rFonts w:ascii="Weber" w:hAnsi="Weber" w:cs="ArialNarrow"/>
          <w:b/>
          <w:color w:val="000000"/>
          <w:sz w:val="20"/>
          <w:szCs w:val="20"/>
        </w:rPr>
        <w:t>: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color w:val="000000"/>
          <w:sz w:val="20"/>
          <w:szCs w:val="20"/>
        </w:rPr>
      </w:pPr>
      <w:r w:rsidRPr="006D0099">
        <w:rPr>
          <w:rFonts w:ascii="Weber" w:hAnsi="Weber" w:cs="Calibri"/>
          <w:color w:val="000000"/>
          <w:sz w:val="20"/>
          <w:szCs w:val="20"/>
        </w:rPr>
        <w:t>EN 13813:2002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color w:val="000000"/>
          <w:sz w:val="20"/>
          <w:szCs w:val="20"/>
        </w:rPr>
      </w:pPr>
      <w:r w:rsidRPr="006D0099">
        <w:rPr>
          <w:rFonts w:ascii="Weber" w:hAnsi="Weber" w:cs="ArialNarrow"/>
          <w:color w:val="000000"/>
          <w:sz w:val="20"/>
          <w:szCs w:val="20"/>
        </w:rPr>
        <w:t>Notified body/</w:t>
      </w:r>
      <w:proofErr w:type="spellStart"/>
      <w:r w:rsidRPr="006D0099">
        <w:rPr>
          <w:rFonts w:ascii="Weber" w:hAnsi="Weber" w:cs="ArialNarrow"/>
          <w:color w:val="000000"/>
          <w:sz w:val="20"/>
          <w:szCs w:val="20"/>
        </w:rPr>
        <w:t>ies</w:t>
      </w:r>
      <w:proofErr w:type="spellEnd"/>
      <w:r w:rsidRPr="006D0099">
        <w:rPr>
          <w:rFonts w:ascii="Weber" w:hAnsi="Weber" w:cs="ArialNarrow"/>
          <w:color w:val="000000"/>
          <w:sz w:val="20"/>
          <w:szCs w:val="20"/>
        </w:rPr>
        <w:t>:</w:t>
      </w:r>
      <w:r w:rsidR="00E347AA" w:rsidRPr="006D0099">
        <w:rPr>
          <w:rFonts w:ascii="Weber" w:hAnsi="Weber" w:cs="ArialNarrow"/>
          <w:color w:val="000000"/>
          <w:sz w:val="20"/>
          <w:szCs w:val="20"/>
        </w:rPr>
        <w:t>/</w:t>
      </w:r>
      <w:r w:rsidR="00E347AA" w:rsidRPr="006D0099">
        <w:rPr>
          <w:rFonts w:ascii="Weber" w:hAnsi="Weber" w:cstheme="minorHAnsi"/>
          <w:b/>
          <w:sz w:val="20"/>
          <w:szCs w:val="20"/>
        </w:rPr>
        <w:t xml:space="preserve"> </w:t>
      </w:r>
      <w:proofErr w:type="spellStart"/>
      <w:r w:rsidR="00E347AA" w:rsidRPr="006D0099">
        <w:rPr>
          <w:rFonts w:ascii="Weber" w:hAnsi="Weber" w:cstheme="minorHAnsi"/>
          <w:b/>
          <w:sz w:val="20"/>
          <w:szCs w:val="20"/>
        </w:rPr>
        <w:t>Notifikuotoji</w:t>
      </w:r>
      <w:proofErr w:type="spellEnd"/>
      <w:r w:rsidR="00E347AA" w:rsidRPr="006D0099">
        <w:rPr>
          <w:rFonts w:ascii="Weber" w:hAnsi="Weber" w:cstheme="minorHAnsi"/>
          <w:b/>
          <w:sz w:val="20"/>
          <w:szCs w:val="20"/>
        </w:rPr>
        <w:t xml:space="preserve"> </w:t>
      </w:r>
      <w:proofErr w:type="spellStart"/>
      <w:r w:rsidR="00E347AA" w:rsidRPr="006D0099">
        <w:rPr>
          <w:rFonts w:ascii="Weber" w:hAnsi="Weber" w:cstheme="minorHAnsi"/>
          <w:b/>
          <w:sz w:val="20"/>
          <w:szCs w:val="20"/>
        </w:rPr>
        <w:t>produkcijos</w:t>
      </w:r>
      <w:proofErr w:type="spellEnd"/>
      <w:r w:rsidR="00E347AA" w:rsidRPr="006D0099">
        <w:rPr>
          <w:rFonts w:ascii="Weber" w:hAnsi="Weber" w:cstheme="minorHAnsi"/>
          <w:b/>
          <w:sz w:val="20"/>
          <w:szCs w:val="20"/>
        </w:rPr>
        <w:t xml:space="preserve"> </w:t>
      </w:r>
      <w:proofErr w:type="spellStart"/>
      <w:r w:rsidR="00E347AA" w:rsidRPr="006D0099">
        <w:rPr>
          <w:rFonts w:ascii="Weber" w:hAnsi="Weber" w:cstheme="minorHAnsi"/>
          <w:b/>
          <w:sz w:val="20"/>
          <w:szCs w:val="20"/>
        </w:rPr>
        <w:t>kontrolės</w:t>
      </w:r>
      <w:proofErr w:type="spellEnd"/>
      <w:r w:rsidR="00E347AA" w:rsidRPr="006D0099">
        <w:rPr>
          <w:rFonts w:ascii="Weber" w:hAnsi="Weber" w:cstheme="minorHAnsi"/>
          <w:b/>
          <w:sz w:val="20"/>
          <w:szCs w:val="20"/>
        </w:rPr>
        <w:t xml:space="preserve"> </w:t>
      </w:r>
      <w:proofErr w:type="spellStart"/>
      <w:r w:rsidR="00E347AA" w:rsidRPr="006D0099">
        <w:rPr>
          <w:rFonts w:ascii="Weber" w:hAnsi="Weber" w:cstheme="minorHAnsi"/>
          <w:b/>
          <w:sz w:val="20"/>
          <w:szCs w:val="20"/>
        </w:rPr>
        <w:t>sertifikavimo</w:t>
      </w:r>
      <w:proofErr w:type="spellEnd"/>
      <w:r w:rsidR="00E347AA" w:rsidRPr="006D0099">
        <w:rPr>
          <w:rFonts w:ascii="Weber" w:hAnsi="Weber" w:cstheme="minorHAnsi"/>
          <w:b/>
          <w:sz w:val="20"/>
          <w:szCs w:val="20"/>
        </w:rPr>
        <w:t xml:space="preserve"> </w:t>
      </w:r>
      <w:proofErr w:type="spellStart"/>
      <w:r w:rsidR="00E347AA" w:rsidRPr="006D0099">
        <w:rPr>
          <w:rFonts w:ascii="Weber" w:hAnsi="Weber" w:cstheme="minorHAnsi"/>
          <w:b/>
          <w:sz w:val="20"/>
          <w:szCs w:val="20"/>
        </w:rPr>
        <w:t>įstaiga</w:t>
      </w:r>
      <w:proofErr w:type="spellEnd"/>
    </w:p>
    <w:p w:rsidR="00A07C84" w:rsidRPr="006D0099" w:rsidRDefault="00A07C84" w:rsidP="00E347AA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color w:val="000000"/>
          <w:sz w:val="20"/>
          <w:szCs w:val="20"/>
        </w:rPr>
      </w:pPr>
      <w:r w:rsidRPr="006D0099">
        <w:rPr>
          <w:rFonts w:ascii="Weber" w:hAnsi="Weber" w:cs="Calibri"/>
          <w:color w:val="000000"/>
          <w:sz w:val="20"/>
          <w:szCs w:val="20"/>
        </w:rPr>
        <w:t>No. 0402, SP Technical Research Institute of</w:t>
      </w:r>
      <w:r w:rsidR="00E347AA" w:rsidRPr="006D0099">
        <w:rPr>
          <w:rFonts w:ascii="Weber" w:hAnsi="Weber" w:cs="Calibri"/>
          <w:color w:val="000000"/>
          <w:sz w:val="20"/>
          <w:szCs w:val="20"/>
        </w:rPr>
        <w:t xml:space="preserve"> </w:t>
      </w:r>
      <w:r w:rsidRPr="006D0099">
        <w:rPr>
          <w:rFonts w:ascii="Weber" w:hAnsi="Weber" w:cs="Calibri"/>
          <w:color w:val="000000"/>
          <w:sz w:val="20"/>
          <w:szCs w:val="20"/>
        </w:rPr>
        <w:t xml:space="preserve">Sweden has issued the following certificate: 0402–CPD–3P02024-1rev3 / </w:t>
      </w:r>
      <w:proofErr w:type="spellStart"/>
      <w:r w:rsidRPr="006D0099">
        <w:rPr>
          <w:rFonts w:ascii="Weber" w:hAnsi="Weber" w:cs="Calibri"/>
          <w:color w:val="000000"/>
          <w:sz w:val="20"/>
          <w:szCs w:val="20"/>
        </w:rPr>
        <w:t>Kiikala</w:t>
      </w:r>
      <w:proofErr w:type="spellEnd"/>
      <w:r w:rsidR="00E347AA" w:rsidRPr="006D0099">
        <w:rPr>
          <w:rFonts w:ascii="Weber" w:hAnsi="Weber" w:cs="Calibri"/>
          <w:color w:val="000000"/>
          <w:sz w:val="20"/>
          <w:szCs w:val="20"/>
        </w:rPr>
        <w:t xml:space="preserve"> </w:t>
      </w:r>
      <w:r w:rsidRPr="006D0099">
        <w:rPr>
          <w:rFonts w:ascii="Weber" w:hAnsi="Weber" w:cs="Calibri"/>
          <w:color w:val="000000"/>
          <w:sz w:val="20"/>
          <w:szCs w:val="20"/>
        </w:rPr>
        <w:t>(reaction to fire/ floor screed) in accordance to EN13501-1:2007 + A1:2009.</w:t>
      </w:r>
    </w:p>
    <w:p w:rsidR="00E347AA" w:rsidRDefault="00E347AA" w:rsidP="00E347AA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b/>
          <w:color w:val="000000"/>
          <w:sz w:val="20"/>
          <w:szCs w:val="20"/>
        </w:rPr>
      </w:pP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Nr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0402, SP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Techninių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Tyrimų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institutas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Švedijoje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patvirtino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produkcijos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efektyvumą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ir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išdavė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pažymą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: 0402-CPD-3P02024-01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Kiikala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(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reakcija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į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ugnį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>/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grindų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išlyginimieji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b/>
          <w:color w:val="000000"/>
          <w:sz w:val="20"/>
          <w:szCs w:val="20"/>
        </w:rPr>
        <w:t>produktai</w:t>
      </w:r>
      <w:proofErr w:type="spellEnd"/>
      <w:r w:rsidRPr="006D0099">
        <w:rPr>
          <w:rFonts w:ascii="Weber" w:hAnsi="Weber" w:cs="Calibri"/>
          <w:b/>
          <w:color w:val="000000"/>
          <w:sz w:val="20"/>
          <w:szCs w:val="20"/>
        </w:rPr>
        <w:t>)</w:t>
      </w:r>
    </w:p>
    <w:p w:rsidR="006D0099" w:rsidRPr="006D0099" w:rsidRDefault="006D0099" w:rsidP="00E347AA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b/>
          <w:color w:val="000000"/>
          <w:sz w:val="20"/>
          <w:szCs w:val="20"/>
        </w:rPr>
      </w:pPr>
    </w:p>
    <w:p w:rsidR="00A07C84" w:rsidRPr="006D0099" w:rsidRDefault="00575B3E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  <w:proofErr w:type="spellStart"/>
      <w:proofErr w:type="gramStart"/>
      <w:r w:rsidRPr="006D0099">
        <w:rPr>
          <w:rFonts w:ascii="Weber" w:hAnsi="Weber" w:cs="Calibri,Bold"/>
          <w:b/>
          <w:bCs/>
          <w:sz w:val="20"/>
          <w:szCs w:val="20"/>
        </w:rPr>
        <w:t>b.</w:t>
      </w:r>
      <w:r w:rsidR="00A07C84" w:rsidRPr="006D0099">
        <w:rPr>
          <w:rFonts w:ascii="Weber" w:hAnsi="Weber" w:cs="ArialNarrow"/>
          <w:sz w:val="20"/>
          <w:szCs w:val="20"/>
        </w:rPr>
        <w:t>European</w:t>
      </w:r>
      <w:proofErr w:type="spellEnd"/>
      <w:proofErr w:type="gramEnd"/>
      <w:r w:rsidR="00A07C84" w:rsidRPr="006D0099">
        <w:rPr>
          <w:rFonts w:ascii="Weber" w:hAnsi="Weber" w:cs="ArialNarrow"/>
          <w:sz w:val="20"/>
          <w:szCs w:val="20"/>
        </w:rPr>
        <w:t xml:space="preserve"> Assessment: Document</w:t>
      </w:r>
      <w:r w:rsidRPr="006D0099">
        <w:rPr>
          <w:rFonts w:ascii="Weber" w:hAnsi="Weber" w:cs="ArialNarrow"/>
          <w:sz w:val="20"/>
          <w:szCs w:val="20"/>
        </w:rPr>
        <w:t>/</w:t>
      </w:r>
      <w:r w:rsidRPr="006D0099">
        <w:rPr>
          <w:rFonts w:ascii="Weber" w:hAnsi="Weber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b/>
          <w:sz w:val="20"/>
          <w:szCs w:val="20"/>
        </w:rPr>
        <w:t>Europos</w:t>
      </w:r>
      <w:proofErr w:type="spellEnd"/>
      <w:r w:rsidRPr="006D0099">
        <w:rPr>
          <w:rFonts w:ascii="Weber" w:hAnsi="Weber" w:cs="ArialNarrow"/>
          <w:b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b/>
          <w:sz w:val="20"/>
          <w:szCs w:val="20"/>
        </w:rPr>
        <w:t>vertinimas</w:t>
      </w:r>
      <w:proofErr w:type="spellEnd"/>
      <w:r w:rsidRPr="006D0099">
        <w:rPr>
          <w:rFonts w:ascii="Weber" w:hAnsi="Weber" w:cs="ArialNarrow"/>
          <w:b/>
          <w:sz w:val="20"/>
          <w:szCs w:val="20"/>
        </w:rPr>
        <w:t xml:space="preserve">: </w:t>
      </w:r>
      <w:proofErr w:type="spellStart"/>
      <w:r w:rsidRPr="006D0099">
        <w:rPr>
          <w:rFonts w:ascii="Weber" w:hAnsi="Weber" w:cs="ArialNarrow"/>
          <w:b/>
          <w:sz w:val="20"/>
          <w:szCs w:val="20"/>
        </w:rPr>
        <w:t>dokumentas</w:t>
      </w:r>
      <w:proofErr w:type="spellEnd"/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-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European Technical Assessment:</w:t>
      </w:r>
      <w:r w:rsidR="000759C2" w:rsidRPr="006D0099">
        <w:rPr>
          <w:rFonts w:ascii="Weber" w:hAnsi="Weber" w:cs="ArialNarrow"/>
          <w:sz w:val="20"/>
          <w:szCs w:val="20"/>
        </w:rPr>
        <w:t>/</w:t>
      </w:r>
      <w:r w:rsidR="000759C2" w:rsidRPr="006D0099">
        <w:rPr>
          <w:rFonts w:ascii="Weber" w:hAnsi="Weber"/>
          <w:sz w:val="20"/>
          <w:szCs w:val="20"/>
        </w:rPr>
        <w:t xml:space="preserve"> </w:t>
      </w:r>
      <w:proofErr w:type="spellStart"/>
      <w:r w:rsidR="000759C2" w:rsidRPr="006D0099">
        <w:rPr>
          <w:rFonts w:ascii="Weber" w:hAnsi="Weber" w:cs="ArialNarrow"/>
          <w:b/>
          <w:sz w:val="20"/>
          <w:szCs w:val="20"/>
        </w:rPr>
        <w:t>Europos</w:t>
      </w:r>
      <w:proofErr w:type="spellEnd"/>
      <w:r w:rsidR="000759C2" w:rsidRPr="006D0099">
        <w:rPr>
          <w:rFonts w:ascii="Weber" w:hAnsi="Weber" w:cs="ArialNarrow"/>
          <w:b/>
          <w:sz w:val="20"/>
          <w:szCs w:val="20"/>
        </w:rPr>
        <w:t xml:space="preserve"> </w:t>
      </w:r>
      <w:proofErr w:type="spellStart"/>
      <w:r w:rsidR="000759C2" w:rsidRPr="006D0099">
        <w:rPr>
          <w:rFonts w:ascii="Weber" w:hAnsi="Weber" w:cs="ArialNarrow"/>
          <w:b/>
          <w:sz w:val="20"/>
          <w:szCs w:val="20"/>
        </w:rPr>
        <w:t>techninis</w:t>
      </w:r>
      <w:proofErr w:type="spellEnd"/>
      <w:r w:rsidR="000759C2" w:rsidRPr="006D0099">
        <w:rPr>
          <w:rFonts w:ascii="Weber" w:hAnsi="Weber" w:cs="ArialNarrow"/>
          <w:b/>
          <w:sz w:val="20"/>
          <w:szCs w:val="20"/>
        </w:rPr>
        <w:t xml:space="preserve"> </w:t>
      </w:r>
      <w:proofErr w:type="spellStart"/>
      <w:r w:rsidR="000759C2" w:rsidRPr="006D0099">
        <w:rPr>
          <w:rFonts w:ascii="Weber" w:hAnsi="Weber" w:cs="ArialNarrow"/>
          <w:b/>
          <w:sz w:val="20"/>
          <w:szCs w:val="20"/>
        </w:rPr>
        <w:t>įvertinimas</w:t>
      </w:r>
      <w:proofErr w:type="spellEnd"/>
      <w:r w:rsidR="000759C2" w:rsidRPr="006D0099">
        <w:rPr>
          <w:rFonts w:ascii="Weber" w:hAnsi="Weber" w:cs="ArialNarrow"/>
          <w:b/>
          <w:sz w:val="20"/>
          <w:szCs w:val="20"/>
        </w:rPr>
        <w:t>: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-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Technical Assessment Body:</w:t>
      </w:r>
      <w:r w:rsidR="000759C2" w:rsidRPr="006D0099">
        <w:rPr>
          <w:rFonts w:ascii="Weber" w:hAnsi="Weber" w:cs="ArialNarrow"/>
          <w:sz w:val="20"/>
          <w:szCs w:val="20"/>
        </w:rPr>
        <w:t>/</w:t>
      </w:r>
      <w:r w:rsidR="000759C2" w:rsidRPr="006D0099">
        <w:rPr>
          <w:rFonts w:ascii="Weber" w:hAnsi="Weber"/>
          <w:sz w:val="20"/>
          <w:szCs w:val="20"/>
        </w:rPr>
        <w:t xml:space="preserve"> </w:t>
      </w:r>
      <w:proofErr w:type="spellStart"/>
      <w:r w:rsidR="000759C2" w:rsidRPr="006D0099">
        <w:rPr>
          <w:rFonts w:ascii="Weber" w:hAnsi="Weber" w:cs="ArialNarrow"/>
          <w:sz w:val="20"/>
          <w:szCs w:val="20"/>
        </w:rPr>
        <w:t>Techninio</w:t>
      </w:r>
      <w:proofErr w:type="spellEnd"/>
      <w:r w:rsidR="000759C2"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="000759C2" w:rsidRPr="006D0099">
        <w:rPr>
          <w:rFonts w:ascii="Weber" w:hAnsi="Weber" w:cs="ArialNarrow"/>
          <w:sz w:val="20"/>
          <w:szCs w:val="20"/>
        </w:rPr>
        <w:t>vertinimo</w:t>
      </w:r>
      <w:proofErr w:type="spellEnd"/>
      <w:r w:rsidR="000759C2"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="000759C2" w:rsidRPr="006D0099">
        <w:rPr>
          <w:rFonts w:ascii="Weber" w:hAnsi="Weber" w:cs="ArialNarrow"/>
          <w:sz w:val="20"/>
          <w:szCs w:val="20"/>
        </w:rPr>
        <w:t>įstaiga</w:t>
      </w:r>
      <w:proofErr w:type="spellEnd"/>
      <w:r w:rsidR="000759C2" w:rsidRPr="006D0099">
        <w:rPr>
          <w:rFonts w:ascii="Weber" w:hAnsi="Weber" w:cs="ArialNarrow"/>
          <w:sz w:val="20"/>
          <w:szCs w:val="20"/>
        </w:rPr>
        <w:t>: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-</w:t>
      </w:r>
    </w:p>
    <w:p w:rsidR="00A07C84" w:rsidRPr="006D0099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Notified body/</w:t>
      </w:r>
      <w:proofErr w:type="spellStart"/>
      <w:r w:rsidRPr="006D0099">
        <w:rPr>
          <w:rFonts w:ascii="Weber" w:hAnsi="Weber" w:cs="ArialNarrow"/>
          <w:sz w:val="20"/>
          <w:szCs w:val="20"/>
        </w:rPr>
        <w:t>ies</w:t>
      </w:r>
      <w:proofErr w:type="spellEnd"/>
      <w:r w:rsidRPr="006D0099">
        <w:rPr>
          <w:rFonts w:ascii="Weber" w:hAnsi="Weber" w:cs="ArialNarrow"/>
          <w:sz w:val="20"/>
          <w:szCs w:val="20"/>
        </w:rPr>
        <w:t>:</w:t>
      </w:r>
      <w:r w:rsidR="00575B3E" w:rsidRPr="006D0099">
        <w:rPr>
          <w:rFonts w:ascii="Weber" w:hAnsi="Weber" w:cs="ArialNarrow"/>
          <w:sz w:val="20"/>
          <w:szCs w:val="20"/>
        </w:rPr>
        <w:t>/</w:t>
      </w:r>
      <w:r w:rsidR="00575B3E" w:rsidRPr="006D0099">
        <w:rPr>
          <w:rFonts w:ascii="Weber" w:hAnsi="Weber"/>
          <w:sz w:val="20"/>
          <w:szCs w:val="20"/>
        </w:rPr>
        <w:t xml:space="preserve"> </w:t>
      </w:r>
      <w:proofErr w:type="spellStart"/>
      <w:r w:rsidR="00575B3E" w:rsidRPr="0024698E">
        <w:rPr>
          <w:rFonts w:ascii="Weber" w:hAnsi="Weber" w:cs="ArialNarrow"/>
          <w:b/>
          <w:sz w:val="20"/>
          <w:szCs w:val="20"/>
        </w:rPr>
        <w:t>Notifikuotoji</w:t>
      </w:r>
      <w:proofErr w:type="spellEnd"/>
      <w:r w:rsidR="00575B3E" w:rsidRPr="0024698E">
        <w:rPr>
          <w:rFonts w:ascii="Weber" w:hAnsi="Weber" w:cs="ArialNarrow"/>
          <w:b/>
          <w:sz w:val="20"/>
          <w:szCs w:val="20"/>
        </w:rPr>
        <w:t xml:space="preserve"> </w:t>
      </w:r>
      <w:proofErr w:type="spellStart"/>
      <w:r w:rsidR="00575B3E" w:rsidRPr="0024698E">
        <w:rPr>
          <w:rFonts w:ascii="Weber" w:hAnsi="Weber" w:cs="ArialNarrow"/>
          <w:b/>
          <w:sz w:val="20"/>
          <w:szCs w:val="20"/>
        </w:rPr>
        <w:t>įstaiga</w:t>
      </w:r>
      <w:proofErr w:type="spellEnd"/>
      <w:r w:rsidR="00575B3E" w:rsidRPr="0024698E">
        <w:rPr>
          <w:rFonts w:ascii="Weber" w:hAnsi="Weber" w:cs="ArialNarrow"/>
          <w:b/>
          <w:sz w:val="20"/>
          <w:szCs w:val="20"/>
        </w:rPr>
        <w:t xml:space="preserve"> (-</w:t>
      </w:r>
      <w:proofErr w:type="spellStart"/>
      <w:r w:rsidR="00575B3E" w:rsidRPr="0024698E">
        <w:rPr>
          <w:rFonts w:ascii="Weber" w:hAnsi="Weber" w:cs="ArialNarrow"/>
          <w:b/>
          <w:sz w:val="20"/>
          <w:szCs w:val="20"/>
        </w:rPr>
        <w:t>os</w:t>
      </w:r>
      <w:bookmarkStart w:id="0" w:name="_GoBack"/>
      <w:bookmarkEnd w:id="0"/>
      <w:proofErr w:type="spellEnd"/>
      <w:r w:rsidR="00575B3E" w:rsidRPr="006D0099">
        <w:rPr>
          <w:rFonts w:ascii="Weber" w:hAnsi="Weber" w:cs="ArialNarrow"/>
          <w:sz w:val="20"/>
          <w:szCs w:val="20"/>
        </w:rPr>
        <w:t>):</w:t>
      </w:r>
    </w:p>
    <w:p w:rsidR="00A07C84" w:rsidRDefault="00A07C84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>-</w:t>
      </w:r>
    </w:p>
    <w:p w:rsidR="006D0099" w:rsidRDefault="006D0099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</w:p>
    <w:p w:rsidR="006D0099" w:rsidRDefault="006D0099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</w:p>
    <w:p w:rsidR="006D0099" w:rsidRPr="006D0099" w:rsidRDefault="006D0099" w:rsidP="00A07C84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Calibri"/>
          <w:sz w:val="20"/>
          <w:szCs w:val="20"/>
        </w:rPr>
      </w:pPr>
    </w:p>
    <w:p w:rsidR="00A07C84" w:rsidRDefault="00A07C84" w:rsidP="006D0099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b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7 Declared performance/s:</w:t>
      </w:r>
      <w:r w:rsidR="00575B3E" w:rsidRPr="006D0099">
        <w:rPr>
          <w:rFonts w:ascii="Weber" w:hAnsi="Weber"/>
          <w:sz w:val="20"/>
          <w:szCs w:val="20"/>
        </w:rPr>
        <w:t xml:space="preserve"> /</w:t>
      </w:r>
      <w:proofErr w:type="spellStart"/>
      <w:r w:rsidR="00575B3E" w:rsidRPr="006D0099">
        <w:rPr>
          <w:rFonts w:ascii="Weber" w:hAnsi="Weber" w:cs="ArialNarrow"/>
          <w:b/>
          <w:sz w:val="20"/>
          <w:szCs w:val="20"/>
        </w:rPr>
        <w:t>Deklaruojama</w:t>
      </w:r>
      <w:proofErr w:type="spellEnd"/>
      <w:r w:rsidR="00575B3E" w:rsidRPr="006D0099">
        <w:rPr>
          <w:rFonts w:ascii="Weber" w:hAnsi="Weber" w:cs="ArialNarrow"/>
          <w:b/>
          <w:sz w:val="20"/>
          <w:szCs w:val="20"/>
        </w:rPr>
        <w:t xml:space="preserve"> (-</w:t>
      </w:r>
      <w:proofErr w:type="spellStart"/>
      <w:r w:rsidR="00575B3E" w:rsidRPr="006D0099">
        <w:rPr>
          <w:rFonts w:ascii="Weber" w:hAnsi="Weber" w:cs="ArialNarrow"/>
          <w:b/>
          <w:sz w:val="20"/>
          <w:szCs w:val="20"/>
        </w:rPr>
        <w:t>os</w:t>
      </w:r>
      <w:proofErr w:type="spellEnd"/>
      <w:r w:rsidR="00575B3E" w:rsidRPr="006D0099">
        <w:rPr>
          <w:rFonts w:ascii="Weber" w:hAnsi="Weber" w:cs="ArialNarrow"/>
          <w:b/>
          <w:sz w:val="20"/>
          <w:szCs w:val="20"/>
        </w:rPr>
        <w:t xml:space="preserve">) </w:t>
      </w:r>
      <w:proofErr w:type="spellStart"/>
      <w:r w:rsidR="00575B3E" w:rsidRPr="006D0099">
        <w:rPr>
          <w:rFonts w:ascii="Weber" w:hAnsi="Weber" w:cs="ArialNarrow"/>
          <w:b/>
          <w:sz w:val="20"/>
          <w:szCs w:val="20"/>
        </w:rPr>
        <w:t>eksploatacinė</w:t>
      </w:r>
      <w:proofErr w:type="spellEnd"/>
      <w:r w:rsidR="00575B3E" w:rsidRPr="006D0099">
        <w:rPr>
          <w:rFonts w:ascii="Weber" w:hAnsi="Weber" w:cs="ArialNarrow"/>
          <w:b/>
          <w:sz w:val="20"/>
          <w:szCs w:val="20"/>
        </w:rPr>
        <w:t xml:space="preserve"> (-</w:t>
      </w:r>
      <w:proofErr w:type="spellStart"/>
      <w:r w:rsidR="00575B3E" w:rsidRPr="006D0099">
        <w:rPr>
          <w:rFonts w:ascii="Weber" w:hAnsi="Weber" w:cs="ArialNarrow"/>
          <w:b/>
          <w:sz w:val="20"/>
          <w:szCs w:val="20"/>
        </w:rPr>
        <w:t>ės</w:t>
      </w:r>
      <w:proofErr w:type="spellEnd"/>
      <w:r w:rsidR="00575B3E" w:rsidRPr="006D0099">
        <w:rPr>
          <w:rFonts w:ascii="Weber" w:hAnsi="Weber" w:cs="ArialNarrow"/>
          <w:b/>
          <w:sz w:val="20"/>
          <w:szCs w:val="20"/>
        </w:rPr>
        <w:t xml:space="preserve">) </w:t>
      </w:r>
      <w:proofErr w:type="spellStart"/>
      <w:r w:rsidR="00575B3E" w:rsidRPr="006D0099">
        <w:rPr>
          <w:rFonts w:ascii="Weber" w:hAnsi="Weber" w:cs="ArialNarrow"/>
          <w:b/>
          <w:sz w:val="20"/>
          <w:szCs w:val="20"/>
        </w:rPr>
        <w:t>savybė</w:t>
      </w:r>
      <w:proofErr w:type="spellEnd"/>
      <w:r w:rsidR="00575B3E" w:rsidRPr="006D0099">
        <w:rPr>
          <w:rFonts w:ascii="Weber" w:hAnsi="Weber" w:cs="ArialNarrow"/>
          <w:b/>
          <w:sz w:val="20"/>
          <w:szCs w:val="20"/>
        </w:rPr>
        <w:t xml:space="preserve"> (-</w:t>
      </w:r>
      <w:proofErr w:type="spellStart"/>
      <w:r w:rsidR="00575B3E" w:rsidRPr="006D0099">
        <w:rPr>
          <w:rFonts w:ascii="Weber" w:hAnsi="Weber" w:cs="ArialNarrow"/>
          <w:b/>
          <w:sz w:val="20"/>
          <w:szCs w:val="20"/>
        </w:rPr>
        <w:t>ės</w:t>
      </w:r>
      <w:proofErr w:type="spellEnd"/>
      <w:r w:rsidR="00575B3E" w:rsidRPr="006D0099">
        <w:rPr>
          <w:rFonts w:ascii="Weber" w:hAnsi="Weber" w:cs="ArialNarrow"/>
          <w:b/>
          <w:sz w:val="20"/>
          <w:szCs w:val="20"/>
        </w:rPr>
        <w:t>):</w:t>
      </w:r>
    </w:p>
    <w:p w:rsidR="006D0099" w:rsidRDefault="006D0099" w:rsidP="006D0099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 w:cs="ArialNarrow"/>
          <w:b/>
          <w:sz w:val="20"/>
          <w:szCs w:val="20"/>
        </w:rPr>
      </w:pPr>
    </w:p>
    <w:p w:rsidR="006D0099" w:rsidRPr="006D0099" w:rsidRDefault="006D0099" w:rsidP="006D0099">
      <w:pPr>
        <w:autoSpaceDE w:val="0"/>
        <w:autoSpaceDN w:val="0"/>
        <w:adjustRightInd w:val="0"/>
        <w:spacing w:after="0" w:line="240" w:lineRule="auto"/>
        <w:jc w:val="both"/>
        <w:rPr>
          <w:rFonts w:ascii="Weber" w:hAnsi="Weber"/>
          <w:sz w:val="20"/>
          <w:szCs w:val="20"/>
        </w:rPr>
      </w:pPr>
    </w:p>
    <w:tbl>
      <w:tblPr>
        <w:tblStyle w:val="TableGrid1"/>
        <w:tblW w:w="5142" w:type="pct"/>
        <w:tblLook w:val="04A0" w:firstRow="1" w:lastRow="0" w:firstColumn="1" w:lastColumn="0" w:noHBand="0" w:noVBand="1"/>
      </w:tblPr>
      <w:tblGrid>
        <w:gridCol w:w="4300"/>
        <w:gridCol w:w="2515"/>
        <w:gridCol w:w="3261"/>
      </w:tblGrid>
      <w:tr w:rsidR="00A07C84" w:rsidRPr="006D0099" w:rsidTr="00DE4985">
        <w:trPr>
          <w:trHeight w:val="612"/>
        </w:trPr>
        <w:tc>
          <w:tcPr>
            <w:tcW w:w="2134" w:type="pct"/>
          </w:tcPr>
          <w:p w:rsidR="00A07C84" w:rsidRPr="006D0099" w:rsidRDefault="00A07C84" w:rsidP="00DE4985">
            <w:pPr>
              <w:spacing w:line="276" w:lineRule="auto"/>
              <w:rPr>
                <w:rFonts w:ascii="Weber" w:hAnsi="Weber" w:cstheme="minorHAnsi"/>
                <w:b/>
                <w:bCs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>Pagrindinės</w:t>
            </w:r>
            <w:proofErr w:type="spellEnd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>charakteristikos</w:t>
            </w:r>
            <w:proofErr w:type="spellEnd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A07C84" w:rsidRPr="006D0099" w:rsidRDefault="00A07C84" w:rsidP="00DE4985">
            <w:pPr>
              <w:spacing w:line="276" w:lineRule="auto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bCs/>
                <w:sz w:val="20"/>
                <w:szCs w:val="20"/>
              </w:rPr>
              <w:t>Essential characteristics</w:t>
            </w:r>
          </w:p>
        </w:tc>
        <w:tc>
          <w:tcPr>
            <w:tcW w:w="1248" w:type="pct"/>
          </w:tcPr>
          <w:p w:rsidR="00A07C84" w:rsidRPr="006D0099" w:rsidRDefault="00A07C84" w:rsidP="00DE4985">
            <w:pPr>
              <w:spacing w:after="200" w:line="276" w:lineRule="auto"/>
              <w:rPr>
                <w:rFonts w:ascii="Weber" w:hAnsi="Weber" w:cstheme="minorHAnsi"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>Efektyvumas</w:t>
            </w:r>
            <w:proofErr w:type="spellEnd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 xml:space="preserve"> </w:t>
            </w:r>
            <w:r w:rsidRPr="006D0099">
              <w:rPr>
                <w:rFonts w:ascii="Weber" w:hAnsi="Weber" w:cstheme="minorHAnsi"/>
                <w:bCs/>
                <w:sz w:val="20"/>
                <w:szCs w:val="20"/>
              </w:rPr>
              <w:t>Performance</w:t>
            </w:r>
          </w:p>
        </w:tc>
        <w:tc>
          <w:tcPr>
            <w:tcW w:w="1618" w:type="pct"/>
          </w:tcPr>
          <w:p w:rsidR="00A07C84" w:rsidRPr="006D0099" w:rsidRDefault="00A07C84" w:rsidP="00DE4985">
            <w:pPr>
              <w:spacing w:line="276" w:lineRule="auto"/>
              <w:rPr>
                <w:rFonts w:ascii="Weber" w:hAnsi="Weber" w:cstheme="minorHAnsi"/>
                <w:b/>
                <w:bCs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>Darnioji</w:t>
            </w:r>
            <w:proofErr w:type="spellEnd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>techninė</w:t>
            </w:r>
            <w:proofErr w:type="spellEnd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>specifikacija</w:t>
            </w:r>
            <w:proofErr w:type="spellEnd"/>
            <w:r w:rsidRPr="006D0099">
              <w:rPr>
                <w:rFonts w:ascii="Weber" w:hAnsi="Weber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A07C84" w:rsidRPr="006D0099" w:rsidRDefault="00A07C84" w:rsidP="00DE4985">
            <w:pPr>
              <w:spacing w:line="276" w:lineRule="auto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bCs/>
                <w:sz w:val="20"/>
                <w:szCs w:val="20"/>
              </w:rPr>
              <w:t>Harmonized technical specification</w:t>
            </w: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pStyle w:val="Default"/>
              <w:rPr>
                <w:rFonts w:ascii="Weber" w:eastAsia="Times New Roman" w:hAnsi="Weber" w:cstheme="minorHAnsi"/>
                <w:b/>
                <w:sz w:val="20"/>
                <w:szCs w:val="20"/>
                <w:lang w:val="lt-LT"/>
              </w:rPr>
            </w:pPr>
            <w:proofErr w:type="spellStart"/>
            <w:r w:rsidRPr="006D0099">
              <w:rPr>
                <w:rFonts w:ascii="Weber" w:eastAsia="Times New Roman" w:hAnsi="Weber" w:cstheme="minorHAnsi"/>
                <w:b/>
                <w:sz w:val="20"/>
                <w:szCs w:val="20"/>
              </w:rPr>
              <w:t>Degumas</w:t>
            </w:r>
            <w:proofErr w:type="spellEnd"/>
            <w:r w:rsidRPr="006D0099">
              <w:rPr>
                <w:rFonts w:ascii="Weber" w:eastAsia="Times New Roman" w:hAnsi="Weber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6D0099">
              <w:rPr>
                <w:rFonts w:ascii="Weber" w:eastAsia="Times New Roman" w:hAnsi="Weber" w:cstheme="minorHAnsi"/>
                <w:b/>
                <w:sz w:val="20"/>
                <w:szCs w:val="20"/>
              </w:rPr>
              <w:t>priešgaisrinėje</w:t>
            </w:r>
            <w:proofErr w:type="spellEnd"/>
            <w:r w:rsidRPr="006D0099">
              <w:rPr>
                <w:rFonts w:ascii="Weber" w:eastAsia="Times New Roman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eastAsia="Times New Roman" w:hAnsi="Weber" w:cstheme="minorHAnsi"/>
                <w:b/>
                <w:sz w:val="20"/>
                <w:szCs w:val="20"/>
              </w:rPr>
              <w:t>situacijoje</w:t>
            </w:r>
            <w:proofErr w:type="spellEnd"/>
            <w:r w:rsidRPr="006D0099">
              <w:rPr>
                <w:rFonts w:ascii="Weber" w:eastAsia="Times New Roman" w:hAnsi="Weber" w:cstheme="minorHAnsi"/>
                <w:b/>
                <w:sz w:val="20"/>
                <w:szCs w:val="20"/>
              </w:rPr>
              <w:t xml:space="preserve">) </w:t>
            </w:r>
          </w:p>
          <w:p w:rsidR="00A07C84" w:rsidRPr="006D0099" w:rsidRDefault="00A07C84" w:rsidP="00DE4985">
            <w:pPr>
              <w:pStyle w:val="Default"/>
              <w:rPr>
                <w:rFonts w:ascii="Weber" w:eastAsia="Times New Roman" w:hAnsi="Weber" w:cstheme="minorHAnsi"/>
                <w:b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Reaction to fire (for explosive situations)</w:t>
            </w:r>
          </w:p>
        </w:tc>
        <w:tc>
          <w:tcPr>
            <w:tcW w:w="1248" w:type="pct"/>
          </w:tcPr>
          <w:p w:rsidR="00A07C84" w:rsidRPr="006D0099" w:rsidRDefault="00A07C84" w:rsidP="00DE4985">
            <w:pPr>
              <w:spacing w:after="200" w:line="276" w:lineRule="auto"/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A2</w:t>
            </w:r>
            <w:r w:rsidRPr="006D0099">
              <w:rPr>
                <w:rFonts w:ascii="Weber" w:hAnsi="Weber" w:cstheme="minorHAnsi"/>
                <w:sz w:val="20"/>
                <w:szCs w:val="20"/>
                <w:vertAlign w:val="subscript"/>
              </w:rPr>
              <w:t>fl</w:t>
            </w:r>
            <w:r w:rsidRPr="006D0099">
              <w:rPr>
                <w:rFonts w:ascii="Weber" w:hAnsi="Weber" w:cstheme="minorHAnsi"/>
                <w:sz w:val="20"/>
                <w:szCs w:val="20"/>
              </w:rPr>
              <w:t>-s1</w:t>
            </w:r>
          </w:p>
        </w:tc>
        <w:tc>
          <w:tcPr>
            <w:tcW w:w="1618" w:type="pct"/>
            <w:vMerge w:val="restart"/>
            <w:vAlign w:val="center"/>
          </w:tcPr>
          <w:p w:rsidR="00A07C84" w:rsidRPr="006D0099" w:rsidRDefault="00A07C84" w:rsidP="00DE4985">
            <w:pPr>
              <w:pStyle w:val="Default"/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EN 13813:2002</w:t>
            </w:r>
          </w:p>
          <w:p w:rsidR="00A07C84" w:rsidRPr="006D0099" w:rsidRDefault="00A07C84" w:rsidP="00DE4985">
            <w:pPr>
              <w:jc w:val="center"/>
              <w:rPr>
                <w:rFonts w:ascii="Weber" w:hAnsi="Weber" w:cstheme="minorHAnsi"/>
                <w:sz w:val="20"/>
                <w:szCs w:val="20"/>
                <w:lang w:val="ru-RU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Koroziją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sukeliančių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medžiagų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išskyrimas</w:t>
            </w:r>
            <w:proofErr w:type="spellEnd"/>
          </w:p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Release of corrosive substances</w:t>
            </w:r>
          </w:p>
        </w:tc>
        <w:tc>
          <w:tcPr>
            <w:tcW w:w="1248" w:type="pct"/>
          </w:tcPr>
          <w:p w:rsidR="00A07C84" w:rsidRPr="006D0099" w:rsidRDefault="00A07C84" w:rsidP="00DE4985">
            <w:pPr>
              <w:spacing w:after="200" w:line="276" w:lineRule="auto"/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CT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Vandens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pralaidumas</w:t>
            </w:r>
            <w:proofErr w:type="spellEnd"/>
          </w:p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Water permeability</w:t>
            </w:r>
          </w:p>
        </w:tc>
        <w:tc>
          <w:tcPr>
            <w:tcW w:w="1248" w:type="pct"/>
          </w:tcPr>
          <w:p w:rsidR="00A07C84" w:rsidRPr="006D0099" w:rsidRDefault="00A07C84" w:rsidP="00DE4985">
            <w:pPr>
              <w:pStyle w:val="Default"/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NPD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Vandens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garų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pralaidumas</w:t>
            </w:r>
            <w:proofErr w:type="spellEnd"/>
          </w:p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 xml:space="preserve">Water </w:t>
            </w:r>
            <w:proofErr w:type="spellStart"/>
            <w:r w:rsidRPr="006D0099">
              <w:rPr>
                <w:rFonts w:ascii="Weber" w:hAnsi="Weber" w:cstheme="minorHAnsi"/>
                <w:sz w:val="20"/>
                <w:szCs w:val="20"/>
              </w:rPr>
              <w:t>vapour</w:t>
            </w:r>
            <w:proofErr w:type="spellEnd"/>
            <w:r w:rsidRPr="006D0099">
              <w:rPr>
                <w:rFonts w:ascii="Weber" w:hAnsi="Weber" w:cstheme="minorHAnsi"/>
                <w:sz w:val="20"/>
                <w:szCs w:val="20"/>
              </w:rPr>
              <w:t xml:space="preserve"> permeability</w:t>
            </w:r>
          </w:p>
        </w:tc>
        <w:tc>
          <w:tcPr>
            <w:tcW w:w="1248" w:type="pct"/>
          </w:tcPr>
          <w:p w:rsidR="00A07C84" w:rsidRPr="006D0099" w:rsidRDefault="00A07C84" w:rsidP="00DE4985">
            <w:pPr>
              <w:pStyle w:val="Default"/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NPD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Stipris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gniuždant</w:t>
            </w:r>
            <w:proofErr w:type="spellEnd"/>
          </w:p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Compressive strength</w:t>
            </w:r>
          </w:p>
        </w:tc>
        <w:tc>
          <w:tcPr>
            <w:tcW w:w="1248" w:type="pct"/>
          </w:tcPr>
          <w:p w:rsidR="00A07C84" w:rsidRPr="006D0099" w:rsidRDefault="00A07C84" w:rsidP="00DE4985">
            <w:pPr>
              <w:pStyle w:val="Default"/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C30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Stipris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lenkiant</w:t>
            </w:r>
            <w:proofErr w:type="spellEnd"/>
          </w:p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Flexural strength</w:t>
            </w:r>
          </w:p>
        </w:tc>
        <w:tc>
          <w:tcPr>
            <w:tcW w:w="1248" w:type="pct"/>
          </w:tcPr>
          <w:p w:rsidR="00A07C84" w:rsidRPr="006D0099" w:rsidRDefault="00A07C84" w:rsidP="00DE4985">
            <w:pPr>
              <w:pStyle w:val="Default"/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F7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Atsparumas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trinčiai</w:t>
            </w:r>
            <w:proofErr w:type="spellEnd"/>
          </w:p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 xml:space="preserve">Wear resistance </w:t>
            </w:r>
          </w:p>
        </w:tc>
        <w:tc>
          <w:tcPr>
            <w:tcW w:w="1248" w:type="pct"/>
          </w:tcPr>
          <w:p w:rsidR="00A07C84" w:rsidRPr="006D0099" w:rsidRDefault="00A07C84" w:rsidP="00DE4985">
            <w:pPr>
              <w:pStyle w:val="Default"/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RWFC 350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Garso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izoliacija</w:t>
            </w:r>
            <w:proofErr w:type="spellEnd"/>
          </w:p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Sound insulation</w:t>
            </w:r>
          </w:p>
        </w:tc>
        <w:tc>
          <w:tcPr>
            <w:tcW w:w="1248" w:type="pct"/>
          </w:tcPr>
          <w:p w:rsidR="00A07C84" w:rsidRPr="006D0099" w:rsidRDefault="00A07C84" w:rsidP="00DE4985">
            <w:pPr>
              <w:pStyle w:val="Default"/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NPD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Garso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sugėrimas</w:t>
            </w:r>
            <w:proofErr w:type="spellEnd"/>
          </w:p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Sound absorption</w:t>
            </w:r>
          </w:p>
        </w:tc>
        <w:tc>
          <w:tcPr>
            <w:tcW w:w="1248" w:type="pct"/>
            <w:vAlign w:val="center"/>
          </w:tcPr>
          <w:p w:rsidR="00A07C84" w:rsidRPr="006D0099" w:rsidRDefault="00A07C84" w:rsidP="00DE4985">
            <w:pPr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NPD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Šiluminė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varža</w:t>
            </w:r>
            <w:proofErr w:type="spellEnd"/>
          </w:p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b/>
                <w:bCs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Thermal resistance</w:t>
            </w:r>
          </w:p>
        </w:tc>
        <w:tc>
          <w:tcPr>
            <w:tcW w:w="1248" w:type="pct"/>
            <w:vAlign w:val="center"/>
          </w:tcPr>
          <w:p w:rsidR="00A07C84" w:rsidRPr="006D0099" w:rsidRDefault="00A07C84" w:rsidP="00DE4985">
            <w:pPr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NPD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  <w:tr w:rsidR="00A07C84" w:rsidRPr="006D0099" w:rsidTr="00DE4985">
        <w:tc>
          <w:tcPr>
            <w:tcW w:w="2134" w:type="pct"/>
          </w:tcPr>
          <w:p w:rsidR="00A07C84" w:rsidRPr="006D0099" w:rsidRDefault="00A07C84" w:rsidP="00DE4985">
            <w:pPr>
              <w:pStyle w:val="Default"/>
              <w:rPr>
                <w:rFonts w:ascii="Weber" w:hAnsi="Weber" w:cstheme="minorHAnsi"/>
                <w:b/>
                <w:sz w:val="20"/>
                <w:szCs w:val="20"/>
              </w:rPr>
            </w:pP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Atsparumas</w:t>
            </w:r>
            <w:proofErr w:type="spellEnd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0099">
              <w:rPr>
                <w:rFonts w:ascii="Weber" w:hAnsi="Weber" w:cstheme="minorHAnsi"/>
                <w:b/>
                <w:sz w:val="20"/>
                <w:szCs w:val="20"/>
              </w:rPr>
              <w:t>chemikalams</w:t>
            </w:r>
            <w:proofErr w:type="spellEnd"/>
          </w:p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Chemical resistance</w:t>
            </w:r>
          </w:p>
        </w:tc>
        <w:tc>
          <w:tcPr>
            <w:tcW w:w="1248" w:type="pct"/>
            <w:vAlign w:val="center"/>
          </w:tcPr>
          <w:p w:rsidR="00A07C84" w:rsidRPr="006D0099" w:rsidRDefault="00A07C84" w:rsidP="00DE4985">
            <w:pPr>
              <w:jc w:val="center"/>
              <w:rPr>
                <w:rFonts w:ascii="Weber" w:hAnsi="Weber" w:cstheme="minorHAnsi"/>
                <w:sz w:val="20"/>
                <w:szCs w:val="20"/>
              </w:rPr>
            </w:pPr>
            <w:r w:rsidRPr="006D0099">
              <w:rPr>
                <w:rFonts w:ascii="Weber" w:hAnsi="Weber" w:cstheme="minorHAnsi"/>
                <w:sz w:val="20"/>
                <w:szCs w:val="20"/>
              </w:rPr>
              <w:t>NPD</w:t>
            </w:r>
          </w:p>
        </w:tc>
        <w:tc>
          <w:tcPr>
            <w:tcW w:w="1618" w:type="pct"/>
            <w:vMerge/>
          </w:tcPr>
          <w:p w:rsidR="00A07C84" w:rsidRPr="006D0099" w:rsidRDefault="00A07C84" w:rsidP="00DE4985">
            <w:pPr>
              <w:rPr>
                <w:rFonts w:ascii="Weber" w:hAnsi="Weber" w:cstheme="minorHAnsi"/>
                <w:sz w:val="20"/>
                <w:szCs w:val="20"/>
              </w:rPr>
            </w:pPr>
          </w:p>
        </w:tc>
      </w:tr>
    </w:tbl>
    <w:p w:rsidR="009B0DBA" w:rsidRPr="006D0099" w:rsidRDefault="009B0DBA" w:rsidP="009B0DBA">
      <w:pPr>
        <w:autoSpaceDE w:val="0"/>
        <w:autoSpaceDN w:val="0"/>
        <w:adjustRightInd w:val="0"/>
        <w:spacing w:after="0" w:line="240" w:lineRule="auto"/>
        <w:rPr>
          <w:rFonts w:ascii="Weber" w:hAnsi="Weber" w:cs="Calibri"/>
          <w:sz w:val="20"/>
          <w:szCs w:val="20"/>
        </w:rPr>
      </w:pPr>
      <w:r w:rsidRPr="006D0099">
        <w:rPr>
          <w:rFonts w:ascii="Weber" w:hAnsi="Weber" w:cs="Calibri"/>
          <w:sz w:val="20"/>
          <w:szCs w:val="20"/>
        </w:rPr>
        <w:t xml:space="preserve">NPD = No Performance Determined, </w:t>
      </w:r>
      <w:proofErr w:type="spellStart"/>
      <w:r w:rsidRPr="006D0099">
        <w:rPr>
          <w:rFonts w:ascii="Weber" w:hAnsi="Weber" w:cs="Calibri"/>
          <w:sz w:val="20"/>
          <w:szCs w:val="20"/>
        </w:rPr>
        <w:t>ominaisuutta</w:t>
      </w:r>
      <w:proofErr w:type="spellEnd"/>
      <w:r w:rsidRPr="006D0099">
        <w:rPr>
          <w:rFonts w:ascii="Weber" w:hAnsi="Weber" w:cs="Calibri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sz w:val="20"/>
          <w:szCs w:val="20"/>
        </w:rPr>
        <w:t>ei</w:t>
      </w:r>
      <w:proofErr w:type="spellEnd"/>
      <w:r w:rsidRPr="006D0099">
        <w:rPr>
          <w:rFonts w:ascii="Weber" w:hAnsi="Weber" w:cs="Calibri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sz w:val="20"/>
          <w:szCs w:val="20"/>
        </w:rPr>
        <w:t>määritelty</w:t>
      </w:r>
      <w:proofErr w:type="spellEnd"/>
      <w:r w:rsidRPr="006D0099">
        <w:rPr>
          <w:rFonts w:ascii="Weber" w:hAnsi="Weber" w:cs="Calibri"/>
          <w:sz w:val="20"/>
          <w:szCs w:val="20"/>
        </w:rPr>
        <w:t xml:space="preserve"> ko. </w:t>
      </w:r>
      <w:proofErr w:type="spellStart"/>
      <w:proofErr w:type="gramStart"/>
      <w:r w:rsidRPr="006D0099">
        <w:rPr>
          <w:rFonts w:ascii="Weber" w:hAnsi="Weber" w:cs="Calibri"/>
          <w:sz w:val="20"/>
          <w:szCs w:val="20"/>
        </w:rPr>
        <w:t>tuotteelle</w:t>
      </w:r>
      <w:proofErr w:type="spellEnd"/>
      <w:r w:rsidRPr="006D0099">
        <w:rPr>
          <w:rFonts w:ascii="Weber" w:hAnsi="Weber" w:cs="Calibri"/>
          <w:sz w:val="20"/>
          <w:szCs w:val="20"/>
        </w:rPr>
        <w:t>./</w:t>
      </w:r>
      <w:proofErr w:type="gramEnd"/>
      <w:r w:rsidRPr="006D0099">
        <w:rPr>
          <w:rFonts w:ascii="Weber" w:hAnsi="Weber" w:cs="Calibri"/>
          <w:sz w:val="20"/>
          <w:szCs w:val="20"/>
        </w:rPr>
        <w:t xml:space="preserve"> Ingen </w:t>
      </w:r>
      <w:proofErr w:type="spellStart"/>
      <w:r w:rsidRPr="006D0099">
        <w:rPr>
          <w:rFonts w:ascii="Weber" w:hAnsi="Weber" w:cs="Calibri"/>
          <w:sz w:val="20"/>
          <w:szCs w:val="20"/>
        </w:rPr>
        <w:t>prestanda</w:t>
      </w:r>
      <w:proofErr w:type="spellEnd"/>
      <w:r w:rsidRPr="006D0099">
        <w:rPr>
          <w:rFonts w:ascii="Weber" w:hAnsi="Weber" w:cs="Calibri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Calibri"/>
          <w:sz w:val="20"/>
          <w:szCs w:val="20"/>
        </w:rPr>
        <w:t>fastställd</w:t>
      </w:r>
      <w:proofErr w:type="spellEnd"/>
      <w:r w:rsidRPr="006D0099">
        <w:rPr>
          <w:rFonts w:ascii="Weber" w:hAnsi="Weber" w:cs="Calibri"/>
          <w:sz w:val="20"/>
          <w:szCs w:val="20"/>
        </w:rPr>
        <w:t>.</w:t>
      </w:r>
    </w:p>
    <w:p w:rsidR="006D0099" w:rsidRDefault="006D0099" w:rsidP="009B0DBA">
      <w:pPr>
        <w:autoSpaceDE w:val="0"/>
        <w:autoSpaceDN w:val="0"/>
        <w:adjustRightInd w:val="0"/>
        <w:spacing w:after="0" w:line="240" w:lineRule="auto"/>
        <w:rPr>
          <w:rFonts w:ascii="Weber" w:hAnsi="Weber" w:cs="ArialNarrow"/>
          <w:sz w:val="20"/>
          <w:szCs w:val="20"/>
        </w:rPr>
      </w:pPr>
    </w:p>
    <w:p w:rsidR="009B0DBA" w:rsidRPr="006D0099" w:rsidRDefault="009B0DBA" w:rsidP="009B0DBA">
      <w:pPr>
        <w:autoSpaceDE w:val="0"/>
        <w:autoSpaceDN w:val="0"/>
        <w:adjustRightInd w:val="0"/>
        <w:spacing w:after="0" w:line="240" w:lineRule="auto"/>
        <w:rPr>
          <w:rFonts w:ascii="Weber" w:hAnsi="Weber" w:cs="ArialNarrow"/>
          <w:b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8 Technical Documentation and/or Specific</w:t>
      </w:r>
      <w:r w:rsidR="00862EB2" w:rsidRPr="006D0099">
        <w:rPr>
          <w:rFonts w:ascii="Weber" w:hAnsi="Weber" w:cs="ArialNarrow"/>
          <w:sz w:val="20"/>
          <w:szCs w:val="20"/>
        </w:rPr>
        <w:t xml:space="preserve"> </w:t>
      </w:r>
      <w:r w:rsidRPr="006D0099">
        <w:rPr>
          <w:rFonts w:ascii="Weber" w:hAnsi="Weber" w:cs="ArialNarrow"/>
          <w:sz w:val="20"/>
          <w:szCs w:val="20"/>
        </w:rPr>
        <w:t>Technical Documentation:</w:t>
      </w:r>
      <w:r w:rsidR="006D0099" w:rsidRPr="006D0099">
        <w:rPr>
          <w:rFonts w:ascii="Weber" w:hAnsi="Weber" w:cs="ArialNarrow"/>
          <w:sz w:val="20"/>
          <w:szCs w:val="20"/>
        </w:rPr>
        <w:t>/</w:t>
      </w:r>
      <w:r w:rsidR="006D0099" w:rsidRPr="006D0099">
        <w:rPr>
          <w:rFonts w:ascii="Weber" w:hAnsi="Weber"/>
          <w:sz w:val="20"/>
          <w:szCs w:val="20"/>
        </w:rPr>
        <w:t xml:space="preserve"> </w:t>
      </w:r>
      <w:proofErr w:type="spellStart"/>
      <w:r w:rsidR="006D0099" w:rsidRPr="006D0099">
        <w:rPr>
          <w:rFonts w:ascii="Weber" w:hAnsi="Weber" w:cs="ArialNarrow"/>
          <w:b/>
          <w:sz w:val="20"/>
          <w:szCs w:val="20"/>
        </w:rPr>
        <w:t>Techninė</w:t>
      </w:r>
      <w:proofErr w:type="spellEnd"/>
      <w:r w:rsidR="006D0099" w:rsidRPr="006D0099">
        <w:rPr>
          <w:rFonts w:ascii="Weber" w:hAnsi="Weber" w:cs="ArialNarrow"/>
          <w:b/>
          <w:sz w:val="20"/>
          <w:szCs w:val="20"/>
        </w:rPr>
        <w:t xml:space="preserve"> ir (</w:t>
      </w:r>
      <w:proofErr w:type="spellStart"/>
      <w:r w:rsidR="006D0099" w:rsidRPr="006D0099">
        <w:rPr>
          <w:rFonts w:ascii="Weber" w:hAnsi="Weber" w:cs="ArialNarrow"/>
          <w:b/>
          <w:sz w:val="20"/>
          <w:szCs w:val="20"/>
        </w:rPr>
        <w:t>arba</w:t>
      </w:r>
      <w:proofErr w:type="spellEnd"/>
      <w:r w:rsidR="006D0099" w:rsidRPr="006D0099">
        <w:rPr>
          <w:rFonts w:ascii="Weber" w:hAnsi="Weber" w:cs="ArialNarrow"/>
          <w:b/>
          <w:sz w:val="20"/>
          <w:szCs w:val="20"/>
        </w:rPr>
        <w:t xml:space="preserve">) </w:t>
      </w:r>
      <w:proofErr w:type="spellStart"/>
      <w:r w:rsidR="006D0099" w:rsidRPr="006D0099">
        <w:rPr>
          <w:rFonts w:ascii="Weber" w:hAnsi="Weber" w:cs="ArialNarrow"/>
          <w:b/>
          <w:sz w:val="20"/>
          <w:szCs w:val="20"/>
        </w:rPr>
        <w:t>specifinė</w:t>
      </w:r>
      <w:proofErr w:type="spellEnd"/>
      <w:r w:rsidR="006D0099" w:rsidRPr="006D0099">
        <w:rPr>
          <w:rFonts w:ascii="Weber" w:hAnsi="Weber" w:cs="ArialNarrow"/>
          <w:b/>
          <w:sz w:val="20"/>
          <w:szCs w:val="20"/>
        </w:rPr>
        <w:t xml:space="preserve"> </w:t>
      </w:r>
      <w:proofErr w:type="spellStart"/>
      <w:r w:rsidR="006D0099" w:rsidRPr="006D0099">
        <w:rPr>
          <w:rFonts w:ascii="Weber" w:hAnsi="Weber" w:cs="ArialNarrow"/>
          <w:b/>
          <w:sz w:val="20"/>
          <w:szCs w:val="20"/>
        </w:rPr>
        <w:t>techninė</w:t>
      </w:r>
      <w:proofErr w:type="spellEnd"/>
      <w:r w:rsidR="006D0099" w:rsidRPr="006D0099">
        <w:rPr>
          <w:rFonts w:ascii="Weber" w:hAnsi="Weber" w:cs="ArialNarrow"/>
          <w:b/>
          <w:sz w:val="20"/>
          <w:szCs w:val="20"/>
        </w:rPr>
        <w:t xml:space="preserve"> </w:t>
      </w:r>
      <w:proofErr w:type="spellStart"/>
      <w:r w:rsidR="006D0099" w:rsidRPr="006D0099">
        <w:rPr>
          <w:rFonts w:ascii="Weber" w:hAnsi="Weber" w:cs="ArialNarrow"/>
          <w:b/>
          <w:sz w:val="20"/>
          <w:szCs w:val="20"/>
        </w:rPr>
        <w:t>dokumentacija</w:t>
      </w:r>
      <w:proofErr w:type="spellEnd"/>
      <w:r w:rsidR="006D0099" w:rsidRPr="006D0099">
        <w:rPr>
          <w:rFonts w:ascii="Weber" w:hAnsi="Weber" w:cs="ArialNarrow"/>
          <w:b/>
          <w:sz w:val="20"/>
          <w:szCs w:val="20"/>
        </w:rPr>
        <w:t>:</w:t>
      </w:r>
    </w:p>
    <w:p w:rsidR="009B0DBA" w:rsidRPr="006D0099" w:rsidRDefault="009B0DBA" w:rsidP="009B0DBA">
      <w:pPr>
        <w:autoSpaceDE w:val="0"/>
        <w:autoSpaceDN w:val="0"/>
        <w:adjustRightInd w:val="0"/>
        <w:spacing w:after="0" w:line="240" w:lineRule="auto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-</w:t>
      </w:r>
    </w:p>
    <w:p w:rsidR="00862EB2" w:rsidRPr="006D0099" w:rsidRDefault="00862EB2" w:rsidP="00862EB2">
      <w:pPr>
        <w:autoSpaceDE w:val="0"/>
        <w:autoSpaceDN w:val="0"/>
        <w:adjustRightInd w:val="0"/>
        <w:spacing w:after="0" w:line="240" w:lineRule="auto"/>
        <w:rPr>
          <w:rFonts w:ascii="Weber" w:hAnsi="Weber" w:cs="ArialNarrow"/>
          <w:sz w:val="20"/>
          <w:szCs w:val="20"/>
        </w:rPr>
      </w:pPr>
      <w:proofErr w:type="spellStart"/>
      <w:r w:rsidRPr="006D0099">
        <w:rPr>
          <w:rFonts w:ascii="Weber" w:hAnsi="Weber" w:cs="ArialNarrow"/>
          <w:sz w:val="20"/>
          <w:szCs w:val="20"/>
        </w:rPr>
        <w:t>Nurodyto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produkto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eksploatacinės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savybės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atitinka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visas </w:t>
      </w:r>
      <w:proofErr w:type="spellStart"/>
      <w:r w:rsidRPr="006D0099">
        <w:rPr>
          <w:rFonts w:ascii="Weber" w:hAnsi="Weber" w:cs="ArialNarrow"/>
          <w:sz w:val="20"/>
          <w:szCs w:val="20"/>
        </w:rPr>
        <w:t>deklaruotas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eksploatacines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savybes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. </w:t>
      </w:r>
      <w:proofErr w:type="spellStart"/>
      <w:r w:rsidRPr="006D0099">
        <w:rPr>
          <w:rFonts w:ascii="Weber" w:hAnsi="Weber" w:cs="ArialNarrow"/>
          <w:sz w:val="20"/>
          <w:szCs w:val="20"/>
        </w:rPr>
        <w:t>Ši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eksploatacinių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savybių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deklaracija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pateikiama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vadovaujantis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Reglamentu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(ES) </w:t>
      </w:r>
      <w:proofErr w:type="spellStart"/>
      <w:r w:rsidRPr="006D0099">
        <w:rPr>
          <w:rFonts w:ascii="Weber" w:hAnsi="Weber" w:cs="ArialNarrow"/>
          <w:sz w:val="20"/>
          <w:szCs w:val="20"/>
        </w:rPr>
        <w:t>Nr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. 305/2011, </w:t>
      </w:r>
      <w:proofErr w:type="spellStart"/>
      <w:r w:rsidRPr="006D0099">
        <w:rPr>
          <w:rFonts w:ascii="Weber" w:hAnsi="Weber" w:cs="ArialNarrow"/>
          <w:sz w:val="20"/>
          <w:szCs w:val="20"/>
        </w:rPr>
        <w:t>atsakomybė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už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jos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turinį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tenka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tik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joje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nurodytam</w:t>
      </w:r>
      <w:proofErr w:type="spellEnd"/>
      <w:r w:rsidRPr="006D0099">
        <w:rPr>
          <w:rFonts w:ascii="Weber" w:hAnsi="Weber" w:cs="ArialNarrow"/>
          <w:sz w:val="20"/>
          <w:szCs w:val="20"/>
        </w:rPr>
        <w:t xml:space="preserve"> </w:t>
      </w:r>
      <w:proofErr w:type="spellStart"/>
      <w:r w:rsidRPr="006D0099">
        <w:rPr>
          <w:rFonts w:ascii="Weber" w:hAnsi="Weber" w:cs="ArialNarrow"/>
          <w:sz w:val="20"/>
          <w:szCs w:val="20"/>
        </w:rPr>
        <w:t>gamintojui</w:t>
      </w:r>
      <w:proofErr w:type="spellEnd"/>
      <w:r w:rsidRPr="006D0099">
        <w:rPr>
          <w:rFonts w:ascii="Weber" w:hAnsi="Weber" w:cs="ArialNarrow"/>
          <w:sz w:val="20"/>
          <w:szCs w:val="20"/>
        </w:rPr>
        <w:t>.</w:t>
      </w:r>
    </w:p>
    <w:p w:rsidR="00862EB2" w:rsidRPr="006D0099" w:rsidRDefault="00862EB2" w:rsidP="00862EB2">
      <w:pPr>
        <w:autoSpaceDE w:val="0"/>
        <w:autoSpaceDN w:val="0"/>
        <w:adjustRightInd w:val="0"/>
        <w:spacing w:after="0" w:line="240" w:lineRule="auto"/>
        <w:rPr>
          <w:rFonts w:ascii="Weber" w:hAnsi="Weber" w:cs="ArialNarrow"/>
          <w:sz w:val="20"/>
          <w:szCs w:val="20"/>
        </w:rPr>
      </w:pPr>
      <w:r w:rsidRPr="006D0099">
        <w:rPr>
          <w:rFonts w:ascii="Weber" w:hAnsi="Weber" w:cs="ArialNarrow"/>
          <w:sz w:val="20"/>
          <w:szCs w:val="20"/>
        </w:rPr>
        <w:t>The performance of the product identified above is in conformity with the set of declared performance/s. This declaration of performance is issued, in accordance with Regulation (EU) No 305/2011, under the sole responsibility of the manufacturer identified above.</w:t>
      </w:r>
    </w:p>
    <w:p w:rsidR="006D0099" w:rsidRPr="006D0099" w:rsidRDefault="006D0099" w:rsidP="00862EB2">
      <w:pPr>
        <w:autoSpaceDE w:val="0"/>
        <w:autoSpaceDN w:val="0"/>
        <w:adjustRightInd w:val="0"/>
        <w:spacing w:after="0" w:line="240" w:lineRule="auto"/>
        <w:rPr>
          <w:rFonts w:ascii="Weber" w:hAnsi="Weber" w:cs="ArialNarrow"/>
          <w:sz w:val="20"/>
          <w:szCs w:val="20"/>
        </w:rPr>
      </w:pPr>
    </w:p>
    <w:p w:rsidR="00862EB2" w:rsidRPr="006D0099" w:rsidRDefault="00862EB2" w:rsidP="00862EB2">
      <w:pPr>
        <w:autoSpaceDE w:val="0"/>
        <w:autoSpaceDN w:val="0"/>
        <w:adjustRightInd w:val="0"/>
        <w:spacing w:after="0" w:line="240" w:lineRule="auto"/>
        <w:rPr>
          <w:rFonts w:ascii="Weber" w:hAnsi="Weber" w:cs="ArialNarrow"/>
          <w:sz w:val="20"/>
          <w:szCs w:val="20"/>
        </w:rPr>
      </w:pPr>
    </w:p>
    <w:p w:rsidR="009B0DBA" w:rsidRPr="006D0099" w:rsidRDefault="009B0DBA" w:rsidP="009B0DBA">
      <w:pPr>
        <w:rPr>
          <w:rFonts w:ascii="Weber" w:hAnsi="Weber"/>
          <w:sz w:val="20"/>
          <w:szCs w:val="20"/>
        </w:rPr>
      </w:pPr>
      <w:r w:rsidRPr="006D0099">
        <w:rPr>
          <w:rFonts w:ascii="Weber" w:hAnsi="Weber"/>
          <w:noProof/>
          <w:sz w:val="20"/>
          <w:szCs w:val="20"/>
        </w:rPr>
        <w:drawing>
          <wp:inline distT="0" distB="0" distL="0" distR="0" wp14:anchorId="5DD70FEC" wp14:editId="538D48EE">
            <wp:extent cx="6228080" cy="1654810"/>
            <wp:effectExtent l="0" t="0" r="127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DBA" w:rsidRPr="006D0099" w:rsidSect="00BD5D01">
      <w:headerReference w:type="default" r:id="rId8"/>
      <w:footerReference w:type="default" r:id="rId9"/>
      <w:pgSz w:w="11906" w:h="16838"/>
      <w:pgMar w:top="340" w:right="1134" w:bottom="113" w:left="96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2C" w:rsidRDefault="00CF272C" w:rsidP="002209A9">
      <w:pPr>
        <w:spacing w:after="0" w:line="240" w:lineRule="auto"/>
      </w:pPr>
      <w:r>
        <w:separator/>
      </w:r>
    </w:p>
  </w:endnote>
  <w:endnote w:type="continuationSeparator" w:id="0">
    <w:p w:rsidR="00CF272C" w:rsidRDefault="00CF272C" w:rsidP="0022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er">
    <w:panose1 w:val="00000500000000000000"/>
    <w:charset w:val="BA"/>
    <w:family w:val="auto"/>
    <w:pitch w:val="variable"/>
    <w:sig w:usb0="A00002EF" w:usb1="4000204A" w:usb2="00000000" w:usb3="00000000" w:csb0="00000097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A9" w:rsidRDefault="00BD5D01" w:rsidP="002209A9">
    <w:pPr>
      <w:pStyle w:val="Footer"/>
      <w:jc w:val="center"/>
    </w:pPr>
    <w:r>
      <w:rPr>
        <w:noProof/>
      </w:rPr>
      <w:drawing>
        <wp:inline distT="0" distB="0" distL="0" distR="0" wp14:anchorId="3B9A4D13" wp14:editId="298BB0D7">
          <wp:extent cx="6462966" cy="791456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^347AE182F4702B76F779733C299B3A4E6F74F240171C2D0819^pimgpsh_fullsize_dis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504" cy="795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2C" w:rsidRDefault="00CF272C" w:rsidP="002209A9">
      <w:pPr>
        <w:spacing w:after="0" w:line="240" w:lineRule="auto"/>
      </w:pPr>
      <w:r>
        <w:separator/>
      </w:r>
    </w:p>
  </w:footnote>
  <w:footnote w:type="continuationSeparator" w:id="0">
    <w:p w:rsidR="00CF272C" w:rsidRDefault="00CF272C" w:rsidP="0022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A9" w:rsidRDefault="002209A9" w:rsidP="002209A9">
    <w:pPr>
      <w:pStyle w:val="Header"/>
      <w:jc w:val="center"/>
    </w:pPr>
    <w:r>
      <w:rPr>
        <w:noProof/>
      </w:rPr>
      <w:drawing>
        <wp:inline distT="0" distB="0" distL="0" distR="0" wp14:anchorId="508D1619" wp14:editId="4F95A9A7">
          <wp:extent cx="1566000" cy="5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er_RVB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A9"/>
    <w:rsid w:val="000759C2"/>
    <w:rsid w:val="000B35BF"/>
    <w:rsid w:val="00103F49"/>
    <w:rsid w:val="002209A9"/>
    <w:rsid w:val="0024698E"/>
    <w:rsid w:val="00293DCE"/>
    <w:rsid w:val="002A1B38"/>
    <w:rsid w:val="00575B3E"/>
    <w:rsid w:val="005A6ED1"/>
    <w:rsid w:val="006D0099"/>
    <w:rsid w:val="00843FF8"/>
    <w:rsid w:val="00862EB2"/>
    <w:rsid w:val="008715BF"/>
    <w:rsid w:val="008958E9"/>
    <w:rsid w:val="009169AA"/>
    <w:rsid w:val="009B0DBA"/>
    <w:rsid w:val="00A07C84"/>
    <w:rsid w:val="00A15C4B"/>
    <w:rsid w:val="00A16FDA"/>
    <w:rsid w:val="00AC2C9F"/>
    <w:rsid w:val="00B20E18"/>
    <w:rsid w:val="00B4551C"/>
    <w:rsid w:val="00BD5D01"/>
    <w:rsid w:val="00CF272C"/>
    <w:rsid w:val="00DE274C"/>
    <w:rsid w:val="00E347AA"/>
    <w:rsid w:val="00E438A9"/>
    <w:rsid w:val="00EC0CD0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EA9C0"/>
  <w15:docId w15:val="{6BB011F2-41F3-4950-8137-7B07D2F1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C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A9"/>
  </w:style>
  <w:style w:type="paragraph" w:styleId="Footer">
    <w:name w:val="footer"/>
    <w:basedOn w:val="Normal"/>
    <w:link w:val="FooterChar"/>
    <w:uiPriority w:val="99"/>
    <w:unhideWhenUsed/>
    <w:rsid w:val="00220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A9"/>
  </w:style>
  <w:style w:type="paragraph" w:styleId="BalloonText">
    <w:name w:val="Balloon Text"/>
    <w:basedOn w:val="Normal"/>
    <w:link w:val="BalloonTextChar"/>
    <w:uiPriority w:val="99"/>
    <w:semiHidden/>
    <w:unhideWhenUsed/>
    <w:rsid w:val="0022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C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07C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0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.web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zygis</dc:creator>
  <cp:lastModifiedBy>Sarmavicius, Zygimantas - SG Statybos Gaminiai UAB</cp:lastModifiedBy>
  <cp:revision>12</cp:revision>
  <dcterms:created xsi:type="dcterms:W3CDTF">2020-04-10T05:45:00Z</dcterms:created>
  <dcterms:modified xsi:type="dcterms:W3CDTF">2020-04-10T08:23:00Z</dcterms:modified>
</cp:coreProperties>
</file>